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Baty Nicola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FRESHPET,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1450 US-206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BEDMINSTER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Freshpet, Inc.</w:t>
              </w:r>
            </w:hyperlink>
            <w:r>
              <w:rPr/>
              <w:t xml:space="preserve"> [ </w:t>
            </w:r>
            <w:r>
              <w:rPr>
                <w:rFonts w:ascii="Times;serif" w:hAnsi="Times;serif"/>
                <w:color w:val="0000FF"/>
                <w:sz w:val="24"/>
                <w:shd w:fill="FFFFFF" w:val="clear"/>
              </w:rPr>
              <w:t>FRPT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58,245</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94,461</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restricted stock units in respect of shares of Common Stock awarded to the Reporting Person under the Freshpet, Inc. 2024 Equity Incentive Plan. These restricted stock units will vest in full on June 30, 2029, subject to the Reporting Person's continued service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Alexander, as attorney-in-fact for the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5663" TargetMode="External"/><Relationship Id="rId5" Type="http://schemas.openxmlformats.org/officeDocument/2006/relationships/hyperlink" Target="http://www.sec.gov/cgi-bin/browse-edgar?action=getcompany&amp;CIK=0001611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3335</Characters>
  <CharactersWithSpaces>3883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