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TextBody"/>
        <w:bidi w:val="0"/>
        <w:spacing w:before="0" w:after="0"/>
        <w:jc w:val="center"/>
        <w:rPr>
          <w:b/>
          <w:sz w:val="24"/>
        </w:rPr>
      </w:pPr>
      <w:r>
        <w:rPr>
          <w:b/>
          <w:sz w:val="24"/>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PURSUANT TO SECTION 13 OR 15(d) OF THE SECURITIES EXCHANGE ACT OF 1934</w:t>
      </w:r>
    </w:p>
    <w:p>
      <w:pPr>
        <w:pStyle w:val="TextBody"/>
        <w:bidi w:val="0"/>
        <w:spacing w:before="0" w:after="0"/>
        <w:jc w:val="left"/>
        <w:rPr>
          <w:b/>
          <w:sz w:val="20"/>
        </w:rPr>
      </w:pPr>
      <w:r>
        <w:rPr>
          <w:b/>
          <w:sz w:val="20"/>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Date of Report (Date of earliest event reported):  October 21, 2026</w:t>
      </w:r>
    </w:p>
    <w:p>
      <w:pPr>
        <w:pStyle w:val="TextBody"/>
        <w:bidi w:val="0"/>
        <w:spacing w:before="0" w:after="0"/>
        <w:jc w:val="left"/>
        <w:rPr>
          <w:sz w:val="24"/>
        </w:rPr>
      </w:pPr>
      <w:r>
        <w:rPr>
          <w:sz w:val="24"/>
        </w:rPr>
      </w:r>
    </w:p>
    <w:p>
      <w:pPr>
        <w:pStyle w:val="TextBody"/>
        <w:bidi w:val="0"/>
        <w:spacing w:before="0" w:after="0"/>
        <w:jc w:val="center"/>
        <w:rPr>
          <w:rFonts w:ascii="Times New Roman;Times;serif" w:hAnsi="Times New Roman;Times;serif"/>
          <w:b/>
          <w:caps/>
          <w:color w:val="000000"/>
          <w:sz w:val="48"/>
          <w:shd w:fill="FFFFFF" w:val="clear"/>
        </w:rPr>
      </w:pPr>
      <w:r>
        <w:rPr>
          <w:rFonts w:ascii="Times New Roman;Times;serif" w:hAnsi="Times New Roman;Times;serif"/>
          <w:b/>
          <w:caps/>
          <w:color w:val="000000"/>
          <w:sz w:val="48"/>
          <w:shd w:fill="FFFFFF" w:val="clear"/>
        </w:rPr>
        <w:t>Freshpet, Inc.</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(Exact name of registrant as specified in its charter) </w:t>
      </w:r>
    </w:p>
    <w:p>
      <w:pPr>
        <w:pStyle w:val="TextBody"/>
        <w:bidi w:val="0"/>
        <w:spacing w:before="0" w:after="0"/>
        <w:jc w:val="left"/>
        <w:rPr>
          <w:b/>
          <w:sz w:val="20"/>
        </w:rPr>
      </w:pPr>
      <w:r>
        <w:rPr>
          <w:b/>
          <w:sz w:val="20"/>
        </w:rPr>
      </w:r>
    </w:p>
    <w:tbl>
      <w:tblPr>
        <w:tblW w:w="5175" w:type="dxa"/>
        <w:jc w:val="left"/>
        <w:tblInd w:w="0" w:type="dxa"/>
        <w:tblLayout w:type="fixed"/>
        <w:tblCellMar>
          <w:top w:w="0" w:type="dxa"/>
          <w:left w:w="0" w:type="dxa"/>
          <w:bottom w:w="28" w:type="dxa"/>
          <w:right w:w="0" w:type="dxa"/>
        </w:tblCellMar>
      </w:tblPr>
      <w:tblGrid>
        <w:gridCol w:w="2315"/>
        <w:gridCol w:w="60"/>
        <w:gridCol w:w="1175"/>
        <w:gridCol w:w="60"/>
        <w:gridCol w:w="1565"/>
      </w:tblGrid>
      <w:tr>
        <w:trPr/>
        <w:tc>
          <w:tcPr>
            <w:tcW w:w="2315" w:type="dxa"/>
            <w:tcBorders>
              <w:bottom w:val="single" w:sz="12" w:space="0" w:color="000000"/>
            </w:tcBorders>
            <w:vAlign w:val="center"/>
          </w:tcPr>
          <w:p>
            <w:pPr>
              <w:pStyle w:val="TableContents"/>
              <w:bidi w:val="0"/>
              <w:spacing w:before="0" w:after="0"/>
              <w:jc w:val="center"/>
              <w:rPr>
                <w:b/>
                <w:sz w:val="20"/>
              </w:rPr>
            </w:pPr>
            <w:r>
              <w:rPr>
                <w:b/>
                <w:sz w:val="20"/>
              </w:rPr>
              <w:t>Delaware</w:t>
            </w:r>
          </w:p>
        </w:tc>
        <w:tc>
          <w:tcPr>
            <w:tcW w:w="60" w:type="dxa"/>
            <w:tcBorders/>
            <w:tcMar>
              <w:bottom w:w="0" w:type="dxa"/>
            </w:tcMar>
            <w:vAlign w:val="center"/>
          </w:tcPr>
          <w:p>
            <w:pPr>
              <w:pStyle w:val="TableContents"/>
              <w:bidi w:val="0"/>
              <w:spacing w:before="0" w:after="0"/>
              <w:jc w:val="left"/>
              <w:rPr/>
            </w:pPr>
            <w:r>
              <w:rPr/>
              <w:t> </w:t>
            </w:r>
          </w:p>
        </w:tc>
        <w:tc>
          <w:tcPr>
            <w:tcW w:w="1175" w:type="dxa"/>
            <w:tcBorders>
              <w:bottom w:val="single" w:sz="12" w:space="0" w:color="000000"/>
            </w:tcBorders>
            <w:vAlign w:val="center"/>
          </w:tcPr>
          <w:p>
            <w:pPr>
              <w:pStyle w:val="TableContents"/>
              <w:bidi w:val="0"/>
              <w:spacing w:before="0" w:after="0"/>
              <w:jc w:val="center"/>
              <w:rPr>
                <w:b/>
                <w:sz w:val="20"/>
              </w:rPr>
            </w:pPr>
            <w:r>
              <w:rPr>
                <w:b/>
                <w:sz w:val="20"/>
              </w:rPr>
              <w:t>001-36729</w:t>
            </w:r>
          </w:p>
        </w:tc>
        <w:tc>
          <w:tcPr>
            <w:tcW w:w="60" w:type="dxa"/>
            <w:tcBorders/>
            <w:tcMar>
              <w:bottom w:w="0" w:type="dxa"/>
            </w:tcMar>
            <w:vAlign w:val="center"/>
          </w:tcPr>
          <w:p>
            <w:pPr>
              <w:pStyle w:val="TableContents"/>
              <w:bidi w:val="0"/>
              <w:spacing w:before="0" w:after="0"/>
              <w:jc w:val="left"/>
              <w:rPr/>
            </w:pPr>
            <w:r>
              <w:rPr/>
              <w:t> </w:t>
            </w:r>
          </w:p>
        </w:tc>
        <w:tc>
          <w:tcPr>
            <w:tcW w:w="1565" w:type="dxa"/>
            <w:tcBorders>
              <w:bottom w:val="single" w:sz="12" w:space="0" w:color="000000"/>
            </w:tcBorders>
            <w:vAlign w:val="center"/>
          </w:tcPr>
          <w:p>
            <w:pPr>
              <w:pStyle w:val="TableContents"/>
              <w:bidi w:val="0"/>
              <w:spacing w:before="0" w:after="0"/>
              <w:jc w:val="center"/>
              <w:rPr>
                <w:b/>
                <w:sz w:val="20"/>
              </w:rPr>
            </w:pPr>
            <w:r>
              <w:rPr>
                <w:b/>
                <w:sz w:val="20"/>
              </w:rPr>
              <w:t>20-1884894</w:t>
            </w:r>
          </w:p>
        </w:tc>
      </w:tr>
      <w:tr>
        <w:trPr/>
        <w:tc>
          <w:tcPr>
            <w:tcW w:w="2315" w:type="dxa"/>
            <w:tcBorders/>
            <w:tcMar>
              <w:bottom w:w="0" w:type="dxa"/>
            </w:tcMar>
            <w:vAlign w:val="center"/>
          </w:tcPr>
          <w:p>
            <w:pPr>
              <w:pStyle w:val="TableContents"/>
              <w:bidi w:val="0"/>
              <w:spacing w:before="0" w:after="0"/>
              <w:jc w:val="center"/>
              <w:rPr>
                <w:b/>
                <w:sz w:val="20"/>
              </w:rPr>
            </w:pPr>
            <w:r>
              <w:rPr>
                <w:b/>
                <w:sz w:val="20"/>
              </w:rPr>
              <w:t xml:space="preserve">(State or other jurisdiction </w:t>
              <w:br/>
              <w:t>of incorporation)</w:t>
            </w:r>
          </w:p>
        </w:tc>
        <w:tc>
          <w:tcPr>
            <w:tcW w:w="60" w:type="dxa"/>
            <w:tcBorders/>
            <w:tcMar>
              <w:bottom w:w="0" w:type="dxa"/>
            </w:tcMar>
            <w:vAlign w:val="center"/>
          </w:tcPr>
          <w:p>
            <w:pPr>
              <w:pStyle w:val="TableContents"/>
              <w:bidi w:val="0"/>
              <w:spacing w:before="0" w:after="0"/>
              <w:jc w:val="left"/>
              <w:rPr/>
            </w:pPr>
            <w:r>
              <w:rPr/>
              <w:t> </w:t>
            </w:r>
          </w:p>
        </w:tc>
        <w:tc>
          <w:tcPr>
            <w:tcW w:w="1175" w:type="dxa"/>
            <w:tcBorders/>
            <w:tcMar>
              <w:bottom w:w="0" w:type="dxa"/>
            </w:tcMar>
            <w:vAlign w:val="center"/>
          </w:tcPr>
          <w:p>
            <w:pPr>
              <w:pStyle w:val="TableContents"/>
              <w:bidi w:val="0"/>
              <w:spacing w:before="0" w:after="0"/>
              <w:jc w:val="center"/>
              <w:rPr>
                <w:b/>
                <w:sz w:val="20"/>
              </w:rPr>
            </w:pPr>
            <w:r>
              <w:rPr>
                <w:b/>
                <w:sz w:val="20"/>
              </w:rPr>
              <w:t xml:space="preserve">(Commission </w:t>
              <w:br/>
              <w:t>File Number)</w:t>
            </w:r>
          </w:p>
        </w:tc>
        <w:tc>
          <w:tcPr>
            <w:tcW w:w="60" w:type="dxa"/>
            <w:tcBorders/>
            <w:tcMar>
              <w:bottom w:w="0" w:type="dxa"/>
            </w:tcMar>
            <w:vAlign w:val="center"/>
          </w:tcPr>
          <w:p>
            <w:pPr>
              <w:pStyle w:val="TableContents"/>
              <w:bidi w:val="0"/>
              <w:spacing w:before="0" w:after="0"/>
              <w:jc w:val="left"/>
              <w:rPr/>
            </w:pPr>
            <w:r>
              <w:rPr/>
              <w:t> </w:t>
            </w:r>
          </w:p>
        </w:tc>
        <w:tc>
          <w:tcPr>
            <w:tcW w:w="1565" w:type="dxa"/>
            <w:tcBorders/>
            <w:tcMar>
              <w:bottom w:w="0" w:type="dxa"/>
            </w:tcMar>
            <w:vAlign w:val="center"/>
          </w:tcPr>
          <w:p>
            <w:pPr>
              <w:pStyle w:val="TableContents"/>
              <w:bidi w:val="0"/>
              <w:spacing w:before="0" w:after="0"/>
              <w:jc w:val="center"/>
              <w:rPr>
                <w:b/>
                <w:sz w:val="20"/>
              </w:rPr>
            </w:pPr>
            <w:r>
              <w:rPr>
                <w:b/>
                <w:sz w:val="20"/>
              </w:rPr>
              <w:t xml:space="preserve">(IRS Employer </w:t>
              <w:br/>
              <w:t>Identification No.)</w:t>
            </w:r>
          </w:p>
        </w:tc>
      </w:tr>
    </w:tbl>
    <w:p>
      <w:pPr>
        <w:pStyle w:val="TextBody"/>
        <w:bidi w:val="0"/>
        <w:spacing w:before="0" w:after="0"/>
        <w:jc w:val="left"/>
        <w:rPr>
          <w:b/>
          <w:sz w:val="16"/>
        </w:rPr>
      </w:pPr>
      <w:r>
        <w:rPr>
          <w:b/>
          <w:sz w:val="16"/>
        </w:rPr>
      </w:r>
    </w:p>
    <w:tbl>
      <w:tblPr>
        <w:tblW w:w="4240" w:type="dxa"/>
        <w:jc w:val="left"/>
        <w:tblInd w:w="0" w:type="dxa"/>
        <w:tblLayout w:type="fixed"/>
        <w:tblCellMar>
          <w:top w:w="0" w:type="dxa"/>
          <w:left w:w="0" w:type="dxa"/>
          <w:bottom w:w="28" w:type="dxa"/>
          <w:right w:w="0" w:type="dxa"/>
        </w:tblCellMar>
      </w:tblPr>
      <w:tblGrid>
        <w:gridCol w:w="3290"/>
        <w:gridCol w:w="60"/>
        <w:gridCol w:w="890"/>
      </w:tblGrid>
      <w:tr>
        <w:trPr/>
        <w:tc>
          <w:tcPr>
            <w:tcW w:w="3290" w:type="dxa"/>
            <w:tcBorders>
              <w:bottom w:val="single" w:sz="12" w:space="0" w:color="000000"/>
            </w:tcBorders>
            <w:vAlign w:val="center"/>
          </w:tcPr>
          <w:p>
            <w:pPr>
              <w:pStyle w:val="TableContents"/>
              <w:bidi w:val="0"/>
              <w:spacing w:before="0" w:after="0"/>
              <w:jc w:val="center"/>
              <w:rPr>
                <w:b/>
                <w:sz w:val="20"/>
              </w:rPr>
            </w:pPr>
            <w:r>
              <w:rPr>
                <w:b/>
                <w:sz w:val="20"/>
              </w:rPr>
              <w:t>1450 US-206</w:t>
            </w:r>
          </w:p>
          <w:p>
            <w:pPr>
              <w:pStyle w:val="TableContents"/>
              <w:bidi w:val="0"/>
              <w:spacing w:before="0" w:after="0"/>
              <w:jc w:val="center"/>
              <w:rPr>
                <w:b/>
                <w:sz w:val="20"/>
              </w:rPr>
            </w:pPr>
            <w:r>
              <w:rPr>
                <w:b/>
                <w:sz w:val="20"/>
              </w:rPr>
              <w:t>Bedminster, New Jersey</w:t>
            </w:r>
          </w:p>
        </w:tc>
        <w:tc>
          <w:tcPr>
            <w:tcW w:w="60" w:type="dxa"/>
            <w:tcBorders/>
            <w:tcMar>
              <w:bottom w:w="0" w:type="dxa"/>
            </w:tcMar>
            <w:vAlign w:val="center"/>
          </w:tcPr>
          <w:p>
            <w:pPr>
              <w:pStyle w:val="TableContents"/>
              <w:bidi w:val="0"/>
              <w:spacing w:before="0" w:after="0"/>
              <w:jc w:val="left"/>
              <w:rPr/>
            </w:pPr>
            <w:r>
              <w:rPr/>
              <w:t> </w:t>
            </w:r>
          </w:p>
        </w:tc>
        <w:tc>
          <w:tcPr>
            <w:tcW w:w="890" w:type="dxa"/>
            <w:tcBorders>
              <w:bottom w:val="single" w:sz="12" w:space="0" w:color="000000"/>
            </w:tcBorders>
            <w:vAlign w:val="center"/>
          </w:tcPr>
          <w:p>
            <w:pPr>
              <w:pStyle w:val="TableContents"/>
              <w:bidi w:val="0"/>
              <w:spacing w:before="0" w:after="0"/>
              <w:jc w:val="center"/>
              <w:rPr>
                <w:b/>
                <w:sz w:val="20"/>
              </w:rPr>
            </w:pPr>
            <w:r>
              <w:rPr>
                <w:b/>
                <w:sz w:val="20"/>
              </w:rPr>
              <w:t>07921</w:t>
            </w:r>
          </w:p>
        </w:tc>
      </w:tr>
      <w:tr>
        <w:trPr/>
        <w:tc>
          <w:tcPr>
            <w:tcW w:w="3290" w:type="dxa"/>
            <w:tcBorders/>
            <w:tcMar>
              <w:bottom w:w="0" w:type="dxa"/>
            </w:tcMar>
            <w:vAlign w:val="center"/>
          </w:tcPr>
          <w:p>
            <w:pPr>
              <w:pStyle w:val="TableContents"/>
              <w:bidi w:val="0"/>
              <w:spacing w:before="0" w:after="0"/>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0"/>
              <w:jc w:val="left"/>
              <w:rPr/>
            </w:pPr>
            <w:r>
              <w:rPr/>
              <w:t> </w:t>
            </w:r>
          </w:p>
        </w:tc>
        <w:tc>
          <w:tcPr>
            <w:tcW w:w="890" w:type="dxa"/>
            <w:tcBorders/>
            <w:tcMar>
              <w:bottom w:w="0" w:type="dxa"/>
            </w:tcMar>
            <w:vAlign w:val="center"/>
          </w:tcPr>
          <w:p>
            <w:pPr>
              <w:pStyle w:val="TableContents"/>
              <w:bidi w:val="0"/>
              <w:spacing w:before="0" w:after="0"/>
              <w:jc w:val="center"/>
              <w:rPr>
                <w:b/>
                <w:sz w:val="20"/>
              </w:rPr>
            </w:pPr>
            <w:r>
              <w:rPr>
                <w:b/>
                <w:sz w:val="20"/>
              </w:rPr>
              <w:t>(Zip code)</w:t>
            </w:r>
          </w:p>
        </w:tc>
      </w:tr>
    </w:tbl>
    <w:p>
      <w:pPr>
        <w:pStyle w:val="TextBody"/>
        <w:bidi w:val="0"/>
        <w:spacing w:before="0" w:after="0"/>
        <w:jc w:val="left"/>
        <w:rPr>
          <w:b/>
          <w:sz w:val="20"/>
        </w:rPr>
      </w:pPr>
      <w:r>
        <w:rPr>
          <w:b/>
          <w:sz w:val="20"/>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Registrant's telephone number, including area code:  201 520-4000</w:t>
      </w:r>
    </w:p>
    <w:p>
      <w:pPr>
        <w:pStyle w:val="TextBody"/>
        <w:bidi w:val="0"/>
        <w:spacing w:before="0" w:after="0"/>
        <w:jc w:val="left"/>
        <w:rPr>
          <w:sz w:val="20"/>
        </w:rPr>
      </w:pPr>
      <w:r>
        <w:rPr>
          <w:sz w:val="20"/>
        </w:rPr>
      </w:r>
    </w:p>
    <w:p>
      <w:pPr>
        <w:pStyle w:val="TextBody"/>
        <w:bidi w:val="0"/>
        <w:spacing w:before="0" w:after="0"/>
        <w:jc w:val="center"/>
        <w:rPr>
          <w:b/>
          <w:sz w:val="20"/>
        </w:rPr>
      </w:pPr>
      <w:r>
        <w:rPr>
          <w:b/>
          <w:sz w:val="20"/>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(Former Name or Former Address, if Changed Since Last Report)</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___________________</w:t>
      </w:r>
    </w:p>
    <w:p>
      <w:pPr>
        <w:pStyle w:val="TextBody"/>
        <w:bidi w:val="0"/>
        <w:spacing w:before="120" w:after="1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Check the appropriate box below if the Form 8-K filing is intended to simultaneously satisfy the filing obligation of the registrant under any of the following provisions: </w:t>
      </w:r>
    </w:p>
    <w:p>
      <w:pPr>
        <w:pStyle w:val="TextBody"/>
        <w:bidi w:val="0"/>
        <w:spacing w:before="0" w:after="142"/>
        <w:jc w:val="left"/>
        <w:rPr>
          <w:color w:val="000000"/>
          <w:shd w:fill="FFFFFF" w:val="clear"/>
        </w:rPr>
      </w:pPr>
      <w:r>
        <w:rPr>
          <w:color w:val="000000"/>
          <w:shd w:fill="FFFFFF" w:val="clear"/>
        </w:rPr>
        <w:t xml:space="preserve">☐ </w:t>
      </w:r>
      <w:r>
        <w:rPr>
          <w:rFonts w:ascii="Times New Roman;Times;serif" w:hAnsi="Times New Roman;Times;serif"/>
          <w:color w:val="000000"/>
          <w:sz w:val="20"/>
          <w:shd w:fill="FFFFFF" w:val="clear"/>
        </w:rPr>
        <w:t>Written communications pursuant to Rule 425 under the Securities Act (17 CFR 230.425)</w:t>
      </w:r>
    </w:p>
    <w:p>
      <w:pPr>
        <w:pStyle w:val="TextBody"/>
        <w:bidi w:val="0"/>
        <w:spacing w:before="0" w:after="139"/>
        <w:jc w:val="left"/>
        <w:rPr>
          <w:color w:val="000000"/>
          <w:shd w:fill="FFFFFF" w:val="clear"/>
        </w:rPr>
      </w:pPr>
      <w:r>
        <w:rPr>
          <w:color w:val="000000"/>
          <w:shd w:fill="FFFFFF" w:val="clear"/>
        </w:rPr>
        <w:t xml:space="preserve">☐ </w:t>
      </w:r>
      <w:r>
        <w:rPr>
          <w:rFonts w:ascii="Times New Roman;Times;serif" w:hAnsi="Times New Roman;Times;serif"/>
          <w:color w:val="000000"/>
          <w:sz w:val="20"/>
          <w:shd w:fill="FFFFFF" w:val="clear"/>
        </w:rPr>
        <w:t>Soliciting material pursuant to Rule 14a-12 under the Exchange Act (17 CFR 240.14a-12)</w:t>
      </w:r>
    </w:p>
    <w:p>
      <w:pPr>
        <w:pStyle w:val="TextBody"/>
        <w:bidi w:val="0"/>
        <w:spacing w:before="0" w:after="139"/>
        <w:jc w:val="left"/>
        <w:rPr>
          <w:color w:val="000000"/>
          <w:shd w:fill="FFFFFF" w:val="clear"/>
        </w:rPr>
      </w:pPr>
      <w:r>
        <w:rPr>
          <w:color w:val="000000"/>
          <w:shd w:fill="FFFFFF" w:val="clear"/>
        </w:rPr>
        <w:t xml:space="preserve">☐ </w:t>
      </w:r>
      <w:r>
        <w:rPr>
          <w:rFonts w:ascii="Times New Roman;Times;serif" w:hAnsi="Times New Roman;Times;serif"/>
          <w:color w:val="000000"/>
          <w:sz w:val="20"/>
          <w:shd w:fill="FFFFFF" w:val="clear"/>
        </w:rPr>
        <w:t>Pre-commencement communications pursuant to Rule 14d-2(b) under the Exchange Act (17 CFR 240.14d-2(b))</w:t>
      </w:r>
    </w:p>
    <w:p>
      <w:pPr>
        <w:pStyle w:val="TextBody"/>
        <w:bidi w:val="0"/>
        <w:spacing w:before="0" w:after="41"/>
        <w:jc w:val="left"/>
        <w:rPr>
          <w:color w:val="000000"/>
          <w:shd w:fill="FFFFFF" w:val="clear"/>
        </w:rPr>
      </w:pPr>
      <w:r>
        <w:rPr>
          <w:color w:val="000000"/>
          <w:shd w:fill="FFFFFF" w:val="clear"/>
        </w:rPr>
        <w:t xml:space="preserve">☐ </w:t>
      </w:r>
      <w:r>
        <w:rPr>
          <w:rFonts w:ascii="Times New Roman;Times;serif" w:hAnsi="Times New Roman;Times;serif"/>
          <w:color w:val="000000"/>
          <w:sz w:val="20"/>
          <w:shd w:fill="FFFFFF" w:val="clear"/>
        </w:rPr>
        <w:t>Pre-commencement communications pursuant to Rule 13e-4(c) under the Exchange Act (17 CFR 240.13e-4(c))</w:t>
      </w:r>
    </w:p>
    <w:p>
      <w:pPr>
        <w:pStyle w:val="TextBody"/>
        <w:bidi w:val="0"/>
        <w:spacing w:before="0" w:after="41"/>
        <w:jc w:val="left"/>
        <w:rPr>
          <w:color w:val="000000"/>
          <w:shd w:fill="FFFFFF" w:val="clear"/>
        </w:rPr>
      </w:pPr>
      <w:r>
        <w:rPr>
          <w:color w:val="000000"/>
          <w:shd w:fill="FFFFFF" w:val="clear"/>
        </w:rPr>
        <w:t> </w:t>
      </w:r>
    </w:p>
    <w:p>
      <w:pPr>
        <w:pStyle w:val="TextBody"/>
        <w:bidi w:val="0"/>
        <w:spacing w:before="0" w:after="0"/>
        <w:jc w:val="left"/>
        <w:rPr>
          <w:sz w:val="20"/>
        </w:rPr>
      </w:pPr>
      <w:r>
        <w:rPr>
          <w:sz w:val="20"/>
        </w:rPr>
      </w:r>
    </w:p>
    <w:p>
      <w:pPr>
        <w:pStyle w:val="TextBody"/>
        <w:bidi w:val="0"/>
        <w:spacing w:before="0" w:after="0"/>
        <w:jc w:val="center"/>
        <w:rPr>
          <w:rFonts w:ascii="Times New Roman;Times;serif" w:hAnsi="Times New Roman;Times;serif"/>
          <w:color w:val="000000"/>
          <w:sz w:val="20"/>
          <w:u w:val="single"/>
          <w:shd w:fill="FFFFFF" w:val="clear"/>
        </w:rPr>
      </w:pPr>
      <w:r>
        <w:rPr>
          <w:rFonts w:ascii="Times New Roman;Times;serif" w:hAnsi="Times New Roman;Times;serif"/>
          <w:color w:val="000000"/>
          <w:sz w:val="20"/>
          <w:u w:val="single"/>
          <w:shd w:fill="FFFFFF" w:val="clear"/>
        </w:rPr>
        <w:t>Securities registered pursuant to Section 12(b) of the Act:</w:t>
      </w:r>
    </w:p>
    <w:p>
      <w:pPr>
        <w:pStyle w:val="TextBody"/>
        <w:bidi w:val="0"/>
        <w:spacing w:before="0" w:after="0"/>
        <w:jc w:val="center"/>
        <w:rPr>
          <w:sz w:val="20"/>
        </w:rPr>
      </w:pPr>
      <w:r>
        <w:rPr>
          <w:sz w:val="20"/>
        </w:rPr>
      </w:r>
    </w:p>
    <w:tbl>
      <w:tblPr>
        <w:tblW w:w="6585" w:type="dxa"/>
        <w:jc w:val="left"/>
        <w:tblInd w:w="0" w:type="dxa"/>
        <w:tblLayout w:type="fixed"/>
        <w:tblCellMar>
          <w:top w:w="28" w:type="dxa"/>
          <w:left w:w="28" w:type="dxa"/>
          <w:bottom w:w="0" w:type="dxa"/>
          <w:right w:w="0" w:type="dxa"/>
        </w:tblCellMar>
      </w:tblPr>
      <w:tblGrid>
        <w:gridCol w:w="1475"/>
        <w:gridCol w:w="1535"/>
        <w:gridCol w:w="3575"/>
      </w:tblGrid>
      <w:tr>
        <w:trPr/>
        <w:tc>
          <w:tcPr>
            <w:tcW w:w="1475" w:type="dxa"/>
            <w:tcBorders>
              <w:top w:val="single" w:sz="2" w:space="0" w:color="000000"/>
              <w:left w:val="single" w:sz="2" w:space="0" w:color="000000"/>
            </w:tcBorders>
            <w:vAlign w:val="center"/>
          </w:tcPr>
          <w:p>
            <w:pPr>
              <w:pStyle w:val="TableContents"/>
              <w:bidi w:val="0"/>
              <w:spacing w:before="0" w:after="0"/>
              <w:jc w:val="center"/>
              <w:rPr>
                <w:sz w:val="20"/>
                <w:u w:val="single"/>
              </w:rPr>
            </w:pPr>
            <w:r>
              <w:rPr>
                <w:sz w:val="20"/>
                <w:u w:val="single"/>
              </w:rPr>
              <w:t>Title of each class</w:t>
            </w:r>
          </w:p>
        </w:tc>
        <w:tc>
          <w:tcPr>
            <w:tcW w:w="1535" w:type="dxa"/>
            <w:tcBorders>
              <w:top w:val="single" w:sz="2" w:space="0" w:color="000000"/>
              <w:left w:val="single" w:sz="2" w:space="0" w:color="000000"/>
            </w:tcBorders>
            <w:vAlign w:val="center"/>
          </w:tcPr>
          <w:p>
            <w:pPr>
              <w:pStyle w:val="TableContents"/>
              <w:bidi w:val="0"/>
              <w:spacing w:before="0" w:after="0"/>
              <w:jc w:val="center"/>
              <w:rPr>
                <w:sz w:val="20"/>
                <w:u w:val="single"/>
              </w:rPr>
            </w:pPr>
            <w:r>
              <w:rPr>
                <w:sz w:val="20"/>
                <w:u w:val="single"/>
              </w:rPr>
              <w:t>Trading Symbol(s)</w:t>
            </w:r>
          </w:p>
        </w:tc>
        <w:tc>
          <w:tcPr>
            <w:tcW w:w="3575"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jc w:val="center"/>
              <w:rPr>
                <w:sz w:val="20"/>
                <w:u w:val="single"/>
              </w:rPr>
            </w:pPr>
            <w:r>
              <w:rPr>
                <w:sz w:val="20"/>
                <w:u w:val="single"/>
              </w:rPr>
              <w:t>Name of each exchange on which registered</w:t>
            </w:r>
          </w:p>
        </w:tc>
      </w:tr>
      <w:tr>
        <w:trPr/>
        <w:tc>
          <w:tcPr>
            <w:tcW w:w="147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center"/>
              <w:rPr>
                <w:sz w:val="20"/>
              </w:rPr>
            </w:pPr>
            <w:r>
              <w:rPr>
                <w:sz w:val="20"/>
              </w:rPr>
              <w:t>Common Stock</w:t>
            </w:r>
          </w:p>
        </w:tc>
        <w:tc>
          <w:tcPr>
            <w:tcW w:w="153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center"/>
              <w:rPr>
                <w:sz w:val="20"/>
              </w:rPr>
            </w:pPr>
            <w:r>
              <w:rPr>
                <w:sz w:val="20"/>
              </w:rPr>
              <w:t>FRPT</w:t>
            </w:r>
          </w:p>
        </w:tc>
        <w:tc>
          <w:tcPr>
            <w:tcW w:w="3575"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283"/>
              <w:jc w:val="center"/>
              <w:rPr>
                <w:sz w:val="20"/>
              </w:rPr>
            </w:pPr>
            <w:r>
              <w:rPr>
                <w:sz w:val="20"/>
              </w:rPr>
              <w:t>The NASDAQ Global Market</w:t>
            </w:r>
          </w:p>
        </w:tc>
      </w:tr>
    </w:tbl>
    <w:p>
      <w:pPr>
        <w:pStyle w:val="TextBody"/>
        <w:bidi w:val="0"/>
        <w:spacing w:before="120" w:after="120"/>
        <w:jc w:val="left"/>
        <w:rPr>
          <w:sz w:val="20"/>
        </w:rPr>
      </w:pPr>
      <w:r>
        <w:rPr>
          <w:sz w:val="20"/>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Effective October 21, 2026, the Compensation and Human Capital Management Committee of the Board of Directors (the “Board”) of Freshpet, Inc. (the “Company”) approved an enhanced compensation package for Nicola Baty in connection with her previously announced appointment as the Company’s President, which appointment became effective October 21, 2026.  In addition to serving as President, Ms. Baty will continue in her role as Chief Operating Officer.</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Ms. Baty will receive an annual base salary of $675,000 (“Base Salary”).  Ms. Baty shall be eligible to participate in the Company’s long term equity incentive programs, with an annual target opportunity of at least two hundred fifty percent (250%) of her Base Salary.  In addition, Ms. Baty has been granted restricted stock units in respect of 58,245 shares of the Company’s common stock under the Company’s 2024 Equity Incentive Plan, which will vest in full on June 30, 2029, subject to Ms. Baty’s continued employment through such date.</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In addition, Ms. Baty’s eligibility to participate in the Company’s annual cash bonus program, as and if established by the Board (or a committee thereof), shall have an annual target bonus opportunity of at least eighty percent (80%) of her Base Salary, based on the achievement of pre-established performance goals established by the Board (or a committee thereof).</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A description of Ms. Baty’s business experience can be found in the Company’s definitive proxy statement on Schedule 14A, as filed with the Securities and Exchange Commission on April 27, 2026, and is incorporated by reference herein.</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There are no family relationships between Ms. Baty and any director or executive officer of the Company that would be required to be disclosed pursuant to Item 401(d) of Regulation S-K, and Ms. Baty does not have any direct or indirect material interest in any transaction that is required to be disclosed under Item 404(a) of Regulation S-K.</w:t>
      </w:r>
    </w:p>
    <w:p>
      <w:pPr>
        <w:pStyle w:val="TextBody"/>
        <w:bidi w:val="0"/>
        <w:spacing w:before="0" w:after="1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before="0" w:after="16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(d) Exhibits.</w:t>
      </w:r>
    </w:p>
    <w:tbl>
      <w:tblPr>
        <w:tblW w:w="6310" w:type="dxa"/>
        <w:jc w:val="left"/>
        <w:tblInd w:w="0" w:type="dxa"/>
        <w:tblLayout w:type="fixed"/>
        <w:tblCellMar>
          <w:top w:w="0" w:type="dxa"/>
          <w:left w:w="0" w:type="dxa"/>
          <w:bottom w:w="28" w:type="dxa"/>
          <w:right w:w="0" w:type="dxa"/>
        </w:tblCellMar>
      </w:tblPr>
      <w:tblGrid>
        <w:gridCol w:w="1400"/>
        <w:gridCol w:w="4910"/>
      </w:tblGrid>
      <w:tr>
        <w:trPr/>
        <w:tc>
          <w:tcPr>
            <w:tcW w:w="1400" w:type="dxa"/>
            <w:tcBorders>
              <w:bottom w:val="single" w:sz="2" w:space="0" w:color="000000"/>
            </w:tcBorders>
            <w:vAlign w:val="center"/>
          </w:tcPr>
          <w:p>
            <w:pPr>
              <w:pStyle w:val="TableContents"/>
              <w:bidi w:val="0"/>
              <w:spacing w:before="0" w:after="0"/>
              <w:jc w:val="both"/>
              <w:rPr>
                <w:rFonts w:ascii="Times New Roman;serif" w:hAnsi="Times New Roman;serif"/>
                <w:b/>
                <w:sz w:val="20"/>
              </w:rPr>
            </w:pPr>
            <w:r>
              <w:rPr>
                <w:rFonts w:ascii="Times New Roman;serif" w:hAnsi="Times New Roman;serif"/>
                <w:b/>
                <w:sz w:val="20"/>
              </w:rPr>
              <w:t>Exhibit Number</w:t>
            </w:r>
          </w:p>
        </w:tc>
        <w:tc>
          <w:tcPr>
            <w:tcW w:w="4910" w:type="dxa"/>
            <w:tcBorders>
              <w:bottom w:val="single" w:sz="2" w:space="0" w:color="000000"/>
            </w:tcBorders>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104</w:t>
            </w:r>
          </w:p>
        </w:tc>
        <w:tc>
          <w:tcPr>
            <w:tcW w:w="4910" w:type="dxa"/>
            <w:tcBorders/>
            <w:tcMar>
              <w:bottom w:w="0" w:type="dxa"/>
            </w:tcMar>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Cover Page Interactive Data File (formatted as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Date: October 23,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3970" w:type="dxa"/>
        <w:jc w:val="left"/>
        <w:tblInd w:w="0" w:type="dxa"/>
        <w:tblLayout w:type="fixed"/>
        <w:tblCellMar>
          <w:top w:w="0" w:type="dxa"/>
          <w:left w:w="0" w:type="dxa"/>
          <w:bottom w:w="0" w:type="dxa"/>
          <w:right w:w="0" w:type="dxa"/>
        </w:tblCellMar>
      </w:tblPr>
      <w:tblGrid>
        <w:gridCol w:w="60"/>
        <w:gridCol w:w="545"/>
        <w:gridCol w:w="3365"/>
      </w:tblGrid>
      <w:tr>
        <w:trPr/>
        <w:tc>
          <w:tcPr>
            <w:tcW w:w="6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FRESHPET, INC.</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365"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Lisa Alexander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3365" w:type="dxa"/>
            <w:tcBorders>
              <w:top w:val="single" w:sz="2" w:space="0" w:color="000000"/>
            </w:tcBorders>
            <w:tcMar>
              <w:top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Lisa Alexander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33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692</Words>
  <Characters>3805</Characters>
  <CharactersWithSpaces>4466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