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Freshpet,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Wellington Management Group LLP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MASSACHUSETTS</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2,088,101.00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2,531,228.00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2,531,228.00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5.2 %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Wellington Group Holdings LLP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2,088,101.00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2,531,228.00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2,531,228.00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5.2 %</w:t>
      </w:r>
    </w:p>
    <w:p>
      <w:pPr>
        <w:sectPr>
          <w:pgSz w:w="11900" w:h="16838" w:orient="portrait"/>
          <w:cols w:equalWidth="0" w:num="2">
            <w:col w:w="1060" w:space="60"/>
            <w:col w:w="8979"/>
          </w:cols>
          <w:pgMar w:left="360" w:top="102" w:right="1440" w:bottom="0" w:gutter="0" w:footer="0" w:header="0"/>
          <w:type w:val="continuous"/>
        </w:sectPr>
      </w:pPr>
    </w:p>
    <w:bookmarkStart w:id="2" w:name="page3"/>
    <w:bookmarkEnd w:id="2"/>
    <w:p>
      <w:pPr>
        <w:ind w:left="1120" w:hanging="1112"/>
        <w:spacing w:after="0"/>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rFonts w:ascii="Times New Roman" w:cs="Times New Roman" w:eastAsia="Times New Roman" w:hAnsi="Times New Roman"/>
          <w:sz w:val="22"/>
          <w:szCs w:val="22"/>
          <w:color w:val="auto"/>
        </w:rPr>
      </w:pPr>
    </w:p>
    <w:p>
      <w:pPr>
        <w:ind w:left="1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Wellington Investment Advisors Holdings LLP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46"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2,088,101.00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2,531,228.00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2,531,228.00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46"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Freshpet,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Address of issuer's principal executive offices: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1450 US-206, Bedminster NJ 07921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person filing:</w:t>
      </w:r>
    </w:p>
    <w:p>
      <w:pPr>
        <w:sectPr>
          <w:pgSz w:w="11900" w:h="16838" w:orient="portrait"/>
          <w:cols w:equalWidth="0" w:num="1">
            <w:col w:w="10099"/>
          </w:cols>
          <w:pgMar w:left="360" w:top="111" w:right="1440" w:bottom="46"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ind w:right="460"/>
        <w:spacing w:after="0" w:line="256" w:lineRule="auto"/>
        <w:rPr>
          <w:sz w:val="20"/>
          <w:szCs w:val="20"/>
          <w:color w:val="auto"/>
        </w:rPr>
      </w:pPr>
      <w:r>
        <w:rPr>
          <w:rFonts w:ascii="Times New Roman" w:cs="Times New Roman" w:eastAsia="Times New Roman" w:hAnsi="Times New Roman"/>
          <w:sz w:val="22"/>
          <w:szCs w:val="22"/>
          <w:color w:val="auto"/>
        </w:rPr>
        <w:t>Wellington Management Group LLP Wellington Group Holdings LLP Wellington Investment Advisors Holdings LLP</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Wellington Management Company LLP, 280 Congress Street, Boston MA 02210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700"/>
        <w:spacing w:after="0" w:line="256" w:lineRule="auto"/>
        <w:rPr>
          <w:sz w:val="20"/>
          <w:szCs w:val="20"/>
          <w:color w:val="auto"/>
        </w:rPr>
      </w:pPr>
      <w:r>
        <w:rPr>
          <w:rFonts w:ascii="Times New Roman" w:cs="Times New Roman" w:eastAsia="Times New Roman" w:hAnsi="Times New Roman"/>
          <w:sz w:val="22"/>
          <w:szCs w:val="22"/>
          <w:color w:val="auto"/>
        </w:rPr>
        <w:t>Wellington Management Group LLP - Massachusetts Wellington Group Holdings LLP - Delaware Wellington Investment Advisors Holdings LLP - Delaware</w:t>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80"/>
        <w:spacing w:after="0" w:line="258" w:lineRule="auto"/>
        <w:rPr>
          <w:sz w:val="20"/>
          <w:szCs w:val="20"/>
          <w:color w:val="auto"/>
        </w:rPr>
      </w:pPr>
      <w:r>
        <w:rPr>
          <w:sz w:val="1"/>
          <w:szCs w:val="1"/>
          <w:color w:val="auto"/>
        </w:rPr>
        <w:drawing>
          <wp:inline distT="0" distB="0" distL="0" distR="0">
            <wp:extent cx="128905" cy="12827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20"/>
        <w:spacing w:after="0" w:line="241" w:lineRule="auto"/>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sectPr>
          <w:pgSz w:w="11900" w:h="16838" w:orient="portrait"/>
          <w:cols w:equalWidth="0" w:num="2">
            <w:col w:w="620" w:space="300"/>
            <w:col w:w="10220"/>
          </w:cols>
          <w:pgMar w:left="360" w:top="112" w:right="399" w:bottom="0" w:gutter="0" w:footer="0" w:header="0"/>
        </w:sect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See the responses to Item 9 on the attached cover pages.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5.16 %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the responses to Item 6 on the attached cover pages.</w:t>
      </w:r>
    </w:p>
    <w:p>
      <w:pPr>
        <w:spacing w:after="0" w:line="287" w:lineRule="exact"/>
        <w:rPr>
          <w:sz w:val="20"/>
          <w:szCs w:val="20"/>
          <w:color w:val="auto"/>
        </w:rPr>
      </w:pPr>
    </w:p>
    <w:p>
      <w:pPr>
        <w:ind w:left="1300" w:hanging="374"/>
        <w:spacing w:after="0"/>
        <w:tabs>
          <w:tab w:leader="none" w:pos="1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120" w:firstLine="6"/>
        <w:spacing w:after="0" w:line="509" w:lineRule="auto"/>
        <w:tabs>
          <w:tab w:leader="none" w:pos="1286"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dispose or to direct the disposition of: See the responses to Item 8 on the attached cover pages.</w:t>
      </w:r>
    </w:p>
    <w:p>
      <w:pPr>
        <w:spacing w:after="0" w:line="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jc w:val="both"/>
        <w:ind w:left="920"/>
        <w:spacing w:after="0" w:line="261" w:lineRule="auto"/>
        <w:rPr>
          <w:sz w:val="20"/>
          <w:szCs w:val="20"/>
          <w:color w:val="auto"/>
        </w:rPr>
      </w:pPr>
      <w:r>
        <w:rPr>
          <w:rFonts w:ascii="Times New Roman" w:cs="Times New Roman" w:eastAsia="Times New Roman" w:hAnsi="Times New Roman"/>
          <w:sz w:val="21"/>
          <w:szCs w:val="21"/>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w:t>
      </w:r>
    </w:p>
    <w:p>
      <w:pPr>
        <w:sectPr>
          <w:pgSz w:w="11900" w:h="16838" w:orient="portrait"/>
          <w:cols w:equalWidth="0" w:num="1">
            <w:col w:w="11140"/>
          </w:cols>
          <w:pgMar w:left="360" w:top="112" w:right="399" w:bottom="0" w:gutter="0" w:footer="0" w:header="0"/>
          <w:type w:val="continuous"/>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ind w:right="20"/>
        <w:spacing w:after="0" w:line="259" w:lineRule="auto"/>
        <w:rPr>
          <w:sz w:val="20"/>
          <w:szCs w:val="20"/>
          <w:color w:val="auto"/>
        </w:rPr>
      </w:pPr>
      <w:r>
        <w:rPr>
          <w:rFonts w:ascii="Times New Roman" w:cs="Times New Roman" w:eastAsia="Times New Roman" w:hAnsi="Times New Roman"/>
          <w:sz w:val="22"/>
          <w:szCs w:val="22"/>
          <w:color w:val="auto"/>
        </w:rPr>
        <w:t>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27" w:lineRule="exact"/>
        <w:rPr>
          <w:sz w:val="20"/>
          <w:szCs w:val="20"/>
          <w:color w:val="auto"/>
        </w:rPr>
      </w:pPr>
    </w:p>
    <w:p>
      <w:pPr>
        <w:ind w:right="120"/>
        <w:spacing w:after="0" w:line="238" w:lineRule="auto"/>
        <w:rPr>
          <w:sz w:val="20"/>
          <w:szCs w:val="20"/>
          <w:color w:val="auto"/>
        </w:rPr>
      </w:pPr>
      <w:r>
        <w:rPr>
          <w:rFonts w:ascii="Times New Roman" w:cs="Times New Roman" w:eastAsia="Times New Roman" w:hAnsi="Times New Roman"/>
          <w:sz w:val="22"/>
          <w:szCs w:val="22"/>
          <w:color w:val="auto"/>
        </w:rPr>
        <w:t>The securities as to which this Schedule is filed are owned of record by clients of one or more investment advisers identified in Item 7 directly or indirectly owned by Wellington Management Group LLP. Those clients have the right to receive, or the power to direct the receipt of, dividends from, or the proceeds from the sale of, such securities. No such client is known to have such right or power with respect to more than five percent of this class of securities, except as follows: Not Applicable.</w:t>
      </w:r>
    </w:p>
    <w:p>
      <w:pPr>
        <w:spacing w:after="0" w:line="15"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ind w:right="120"/>
        <w:spacing w:after="0" w:line="233" w:lineRule="auto"/>
        <w:rPr>
          <w:sz w:val="20"/>
          <w:szCs w:val="20"/>
          <w:color w:val="auto"/>
        </w:rPr>
      </w:pPr>
      <w:r>
        <w:rPr>
          <w:rFonts w:ascii="Times New Roman" w:cs="Times New Roman" w:eastAsia="Times New Roman" w:hAnsi="Times New Roman"/>
          <w:sz w:val="22"/>
          <w:szCs w:val="22"/>
          <w:color w:val="auto"/>
        </w:rPr>
        <w:t>Pursuant to the instructions in Item 7 of Schedule 13G, the following lists the identity and Item 3 classification of each relevant entity that beneficially owns shares of the security class being reported on this Schedule 13G. Wellington Group Holdings LLP - HC Wellington Investment Advisors LLP - HC Wellington Management Global Holdings, Ltd. - HC One or more of the following investment advisers (the "Wellington Investment Advisers"): Wellington Management Company LLP - IA Wellington Management Canada LLC - IA Wellington Management Singapore Pte Ltd - IA Wellington Management Hong Kong Ltd - IA Wellington Management International Ltd - IA Wellington Management Japan Pte Ltd - IA Wellington Management Australia Pty Ltd - IA The securities as to which this Schedule is filed by Wellington Management Group LLP, as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2" w:right="399" w:bottom="208" w:gutter="0" w:footer="0" w:header="0"/>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Wellington Management Group LLP</w:t>
      </w:r>
    </w:p>
    <w:p>
      <w:pPr>
        <w:spacing w:after="0" w:line="152"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Matthew Revell</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Compliance Manager</w:t>
      </w:r>
    </w:p>
    <w:p>
      <w:pPr>
        <w:spacing w:after="0" w:line="44"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Wellington Group Holdings LLP</w:t>
      </w:r>
    </w:p>
    <w:p>
      <w:pPr>
        <w:spacing w:after="0" w:line="152"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Matthew Revell</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Compliance Manager</w:t>
      </w:r>
    </w:p>
    <w:p>
      <w:pPr>
        <w:spacing w:after="0" w:line="44"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Wellington Investment Advisors Holdings LLP</w:t>
      </w:r>
    </w:p>
    <w:p>
      <w:pPr>
        <w:spacing w:after="0" w:line="152"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Matthew Revell</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Compliance Manager</w:t>
      </w:r>
    </w:p>
    <w:p>
      <w:pPr>
        <w:spacing w:after="0" w:line="44"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ectPr>
          <w:pgSz w:w="11900" w:h="16838" w:orient="portrait"/>
          <w:cols w:equalWidth="0" w:num="1">
            <w:col w:w="11140"/>
          </w:cols>
          <w:pgMar w:left="360" w:top="112" w:right="399" w:bottom="208" w:gutter="0" w:footer="0" w:header="0"/>
          <w:type w:val="continuous"/>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JOINT FILING AGREEMENT</w:t>
      </w:r>
    </w:p>
    <w:p>
      <w:pPr>
        <w:spacing w:after="0" w:line="319" w:lineRule="exact"/>
        <w:rPr>
          <w:sz w:val="20"/>
          <w:szCs w:val="20"/>
          <w:color w:val="auto"/>
        </w:rPr>
      </w:pPr>
    </w:p>
    <w:p>
      <w:pPr>
        <w:ind w:left="60" w:right="199"/>
        <w:spacing w:after="0" w:line="233" w:lineRule="auto"/>
        <w:rPr>
          <w:sz w:val="20"/>
          <w:szCs w:val="20"/>
          <w:color w:val="auto"/>
        </w:rPr>
      </w:pPr>
      <w:r>
        <w:rPr>
          <w:rFonts w:ascii="Times New Roman" w:cs="Times New Roman" w:eastAsia="Times New Roman" w:hAnsi="Times New Roman"/>
          <w:sz w:val="22"/>
          <w:szCs w:val="22"/>
          <w:color w:val="auto"/>
        </w:rPr>
        <w:t>The undersigned hereby agree that this Schedule 13G (the “Schedule 13G”) with respect to the common stock of Freshpet, Inc. is, and any additional amendment thereto signed by each of the undersigned shall be, filed on behalf of each undersigned pursuant to and in accordance with the provisions of 13d-1(k) under the Securities Exchange Act of 1934, as amended,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Securities Exchange Act of 1934, nor is a joint venture for purposes of the Investment Company Act of 1940.</w:t>
      </w:r>
    </w:p>
    <w:p>
      <w:pPr>
        <w:spacing w:after="0" w:line="200" w:lineRule="exact"/>
        <w:rPr>
          <w:sz w:val="20"/>
          <w:szCs w:val="20"/>
          <w:color w:val="auto"/>
        </w:rPr>
      </w:pPr>
    </w:p>
    <w:p>
      <w:pPr>
        <w:spacing w:after="0" w:line="333"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Management Group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Matthew Revell</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Matthew Revell</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Compliance Manager</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May 15,2026</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Group Holdings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Matthew Revell</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Matthew Revell</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Compliance Manager</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May 15,2026</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Investment Advisors Holdings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Matthew Revell</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Matthew Revell</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Compliance Manager</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May 15,2026</w:t>
      </w:r>
    </w:p>
    <w:sectPr>
      <w:pgSz w:w="11900" w:h="16838" w:orient="portrait"/>
      <w:cols w:equalWidth="0" w:num="1">
        <w:col w:w="9019"/>
      </w:cols>
      <w:pgMar w:left="1440" w:top="1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decimal"/>
      <w:start w:val="12"/>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2026-05-15T06:07:23Z</dcterms:created>
  <dcterms:modified xsi:type="dcterms:W3CDTF">2026-05-15T06:07:23Z</dcterms:modified>
</cp:coreProperties>
</file>