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2021</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FRESHPET,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001-36729</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660" w:type="dxa"/>
            <w:vAlign w:val="bottom"/>
          </w:tcPr>
          <w:p>
            <w:pPr>
              <w:spacing w:after="0"/>
              <w:rPr>
                <w:sz w:val="18"/>
                <w:szCs w:val="18"/>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6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400 Plaza Drive, 1</w:t>
            </w:r>
            <w:r>
              <w:rPr>
                <w:rFonts w:ascii="Times New Roman" w:cs="Times New Roman" w:eastAsia="Times New Roman" w:hAnsi="Times New Roman"/>
                <w:sz w:val="14"/>
                <w:szCs w:val="14"/>
                <w:b w:val="1"/>
                <w:bCs w:val="1"/>
                <w:color w:val="auto"/>
              </w:rPr>
              <w:t>st</w:t>
            </w:r>
            <w:r>
              <w:rPr>
                <w:rFonts w:ascii="Times New Roman" w:cs="Times New Roman" w:eastAsia="Times New Roman" w:hAnsi="Times New Roman"/>
                <w:sz w:val="18"/>
                <w:szCs w:val="18"/>
                <w:b w:val="1"/>
                <w:bCs w:val="1"/>
                <w:color w:val="auto"/>
              </w:rPr>
              <w:t xml:space="preserve"> Floor</w:t>
            </w: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Secaucus, NJ</w:t>
            </w:r>
          </w:p>
        </w:tc>
        <w:tc>
          <w:tcPr>
            <w:tcW w:w="3660" w:type="dxa"/>
            <w:vAlign w:val="bottom"/>
          </w:tcPr>
          <w:p>
            <w:pPr>
              <w:spacing w:after="0"/>
              <w:rPr>
                <w:sz w:val="18"/>
                <w:szCs w:val="18"/>
                <w:color w:val="auto"/>
              </w:rPr>
            </w:pPr>
          </w:p>
        </w:tc>
        <w:tc>
          <w:tcPr>
            <w:tcW w:w="2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07094</w:t>
            </w:r>
          </w:p>
        </w:tc>
      </w:tr>
      <w:tr>
        <w:trPr>
          <w:trHeight w:val="238"/>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60" w:type="dxa"/>
            <w:vAlign w:val="bottom"/>
          </w:tcPr>
          <w:p>
            <w:pPr>
              <w:spacing w:after="0"/>
              <w:rPr>
                <w:sz w:val="20"/>
                <w:szCs w:val="20"/>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520-4000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240"/>
          </w:cols>
          <w:pgMar w:left="320" w:top="425" w:right="339" w:bottom="1440" w:gutter="0" w:footer="0" w:header="0"/>
        </w:sect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1"/>
        </w:trPr>
        <w:tc>
          <w:tcPr>
            <w:tcW w:w="2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FRPT</w:t>
            </w:r>
          </w:p>
        </w:tc>
        <w:tc>
          <w:tcPr>
            <w:tcW w:w="4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line="20" w:lineRule="exact"/>
              <w:rPr>
                <w:sz w:val="1"/>
                <w:szCs w:val="1"/>
                <w:color w:val="auto"/>
              </w:rPr>
            </w:pPr>
          </w:p>
        </w:tc>
      </w:tr>
      <w:tr>
        <w:trPr>
          <w:trHeight w:val="205"/>
        </w:trPr>
        <w:tc>
          <w:tcPr>
            <w:tcW w:w="2700" w:type="dxa"/>
            <w:vAlign w:val="bottom"/>
            <w:tcBorders>
              <w:left w:val="single" w:sz="8" w:color="auto"/>
              <w:right w:val="single" w:sz="8" w:color="auto"/>
            </w:tcBorders>
            <w:vMerge w:val="continue"/>
          </w:tcPr>
          <w:p>
            <w:pPr>
              <w:spacing w:after="0"/>
              <w:rPr>
                <w:sz w:val="17"/>
                <w:szCs w:val="17"/>
                <w:color w:val="auto"/>
              </w:rPr>
            </w:pPr>
          </w:p>
        </w:tc>
        <w:tc>
          <w:tcPr>
            <w:tcW w:w="42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-301625</wp:posOffset>
            </wp:positionV>
            <wp:extent cx="7134225" cy="302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8" w:lineRule="exact"/>
        <w:rPr>
          <w:sz w:val="24"/>
          <w:szCs w:val="24"/>
          <w:color w:val="auto"/>
        </w:rPr>
      </w:pPr>
    </w:p>
    <w:p>
      <w:pPr>
        <w:sectPr>
          <w:pgSz w:w="11900" w:h="16838" w:orient="portrait"/>
          <w:cols w:equalWidth="0" w:num="2">
            <w:col w:w="4160" w:space="120"/>
            <w:col w:w="6960"/>
          </w:cols>
          <w:pgMar w:left="320" w:top="425" w:right="339" w:bottom="1440" w:gutter="0" w:footer="0" w:header="0"/>
          <w:type w:val="continuous"/>
        </w:sect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22, 2021, Freshpet, Inc. (“Freshpet”) issued a press release disclosing its financial results for the quarter and year ended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hereto as Exhibit 99.1 and is incorporated herein by reference.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Freshpet will hold a conference call at 4:30 p.m., Eastern Time, on Monday, February 22, 2021 to discuss its financial results for the quarter and year ended December 31, 2020.</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Freshpet references non-GAAP financial information in the press release and makes similar references in the transcript to the conference call. A reconciliation of these non-GAAP financial measures to the nearest comparable GAAP financial measures is contained in the attached Exhibit 99.1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On February 22, 2021, Freshpet published to the investor relations section of its website a presentation which will be used by Freshpet’s management team in meetings with analysts and stockholders. A copy of the presentation is attached hereto as Exhibit 99.2 and is incorporated herein by reference.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with Item 2.02 and this Item 7.01, including Exhibits 99.1 and 99.2,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spacing w:after="0" w:line="17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Freshpet uses the “Investors” section of its website (</w:t>
      </w:r>
      <w:r>
        <w:rPr>
          <w:rFonts w:ascii="Times New Roman" w:cs="Times New Roman" w:eastAsia="Times New Roman" w:hAnsi="Times New Roman"/>
          <w:sz w:val="18"/>
          <w:szCs w:val="18"/>
          <w:i w:val="1"/>
          <w:iCs w:val="1"/>
          <w:color w:val="auto"/>
        </w:rPr>
        <w:t>investors.freshpet.com</w:t>
      </w:r>
      <w:r>
        <w:rPr>
          <w:rFonts w:ascii="Times New Roman" w:cs="Times New Roman" w:eastAsia="Times New Roman" w:hAnsi="Times New Roman"/>
          <w:sz w:val="18"/>
          <w:szCs w:val="18"/>
          <w:color w:val="auto"/>
        </w:rPr>
        <w:t>) as a means of disclosing material non-public information and for complying with its disclosure obligations under Regulation FD.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180"/>
          </w:cols>
          <w:pgMar w:left="320" w:top="576" w:right="39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33" w:lineRule="exact"/>
        <w:rPr>
          <w:sz w:val="20"/>
          <w:szCs w:val="20"/>
          <w:color w:val="auto"/>
        </w:rPr>
      </w:pPr>
    </w:p>
    <w:p>
      <w:pPr>
        <w:sectPr>
          <w:pgSz w:w="11900" w:h="16838" w:orient="portrait"/>
          <w:cols w:equalWidth="0" w:num="2">
            <w:col w:w="660" w:space="720"/>
            <w:col w:w="9800"/>
          </w:cols>
          <w:pgMar w:left="320" w:top="576" w:right="3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Press Release, dated February 22, 2021</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Investor Presentation</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11" w:lineRule="exact"/>
        <w:rPr>
          <w:sz w:val="20"/>
          <w:szCs w:val="20"/>
          <w:color w:val="auto"/>
        </w:rPr>
      </w:pPr>
    </w:p>
    <w:p>
      <w:pPr>
        <w:sectPr>
          <w:pgSz w:w="11900" w:h="16838" w:orient="portrait"/>
          <w:cols w:equalWidth="0" w:num="2">
            <w:col w:w="660" w:space="720"/>
            <w:col w:w="9800"/>
          </w:cols>
          <w:pgMar w:left="320" w:top="576" w:right="399" w:bottom="1440" w:gutter="0" w:footer="0" w:header="0"/>
          <w:type w:val="continuous"/>
        </w:sect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FRESHPET,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2021</w:t>
            </w:r>
          </w:p>
        </w:tc>
        <w:tc>
          <w:tcPr>
            <w:tcW w:w="7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Heather Pomerantz</w:t>
            </w:r>
          </w:p>
        </w:tc>
      </w:tr>
      <w:tr>
        <w:trPr>
          <w:trHeight w:val="20"/>
        </w:trPr>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r>
      <w:tr>
        <w:trPr>
          <w:trHeight w:val="191"/>
        </w:trPr>
        <w:tc>
          <w:tcPr>
            <w:tcW w:w="3680" w:type="dxa"/>
            <w:vAlign w:val="bottom"/>
          </w:tcPr>
          <w:p>
            <w:pPr>
              <w:spacing w:after="0"/>
              <w:rPr>
                <w:sz w:val="16"/>
                <w:szCs w:val="16"/>
                <w:color w:val="auto"/>
              </w:rPr>
            </w:pPr>
          </w:p>
        </w:tc>
        <w:tc>
          <w:tcPr>
            <w:tcW w:w="7200" w:type="dxa"/>
            <w:vAlign w:val="bottom"/>
            <w:gridSpan w:val="2"/>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 Heather Pomerantz</w:t>
            </w:r>
          </w:p>
        </w:tc>
      </w:tr>
      <w:tr>
        <w:trPr>
          <w:trHeight w:val="234"/>
        </w:trPr>
        <w:tc>
          <w:tcPr>
            <w:tcW w:w="3680" w:type="dxa"/>
            <w:vAlign w:val="bottom"/>
          </w:tcPr>
          <w:p>
            <w:pPr>
              <w:spacing w:after="0"/>
              <w:rPr>
                <w:sz w:val="20"/>
                <w:szCs w:val="20"/>
                <w:color w:val="auto"/>
              </w:rPr>
            </w:pPr>
          </w:p>
        </w:tc>
        <w:tc>
          <w:tcPr>
            <w:tcW w:w="7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80"/>
          </w:cols>
          <w:pgMar w:left="320" w:top="576" w:right="39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120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2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Freshpet, Inc. Reports Fourth Quarter and Full Year 2020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Raises 2025 Growth Targets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SECAUCUS, N.J. – February 22, 2021 – Freshpet, Inc. (“Freshpet” or the “Company”) (NASDAQ: FRPT) today reported financial results for its fourth quarter and full year ended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2020 Financial Highlights Compared to Prior Year Period</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$84.5 million, an increase of 28.5%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$3.3 million, compared with prior year net income of $4.6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EBITDA of $12.9 million, compared to $13.2 million </w:t>
      </w:r>
      <w:r>
        <w:rPr>
          <w:rFonts w:ascii="Times New Roman" w:cs="Times New Roman" w:eastAsia="Times New Roman" w:hAnsi="Times New Roman"/>
          <w:sz w:val="29"/>
          <w:szCs w:val="29"/>
          <w:color w:val="auto"/>
          <w:vertAlign w:val="superscript"/>
        </w:rPr>
        <w:t>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Financial Highlights Compared to Prior Year</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$318.8 million, an increase of 29.7%</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$3.2 million compared to a net loss of $1.4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EBITDA of $46.9 million compared to $29.2 million, an increase of 60.9% </w:t>
      </w:r>
      <w:r>
        <w:rPr>
          <w:rFonts w:ascii="Times New Roman" w:cs="Times New Roman" w:eastAsia="Times New Roman" w:hAnsi="Times New Roman"/>
          <w:sz w:val="29"/>
          <w:szCs w:val="29"/>
          <w:color w:val="auto"/>
          <w:vertAlign w:val="superscript"/>
        </w:rPr>
        <w:t>1</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“Thanks to the efforts of our dedicated team members, Freshpet has continued to weather the COVID-19 storm and produced our fourth consecutive year of accelerating growth in 2020. Clearly, our 'Feed the Growth' strategy is working and is proving that the upside potential for Freshpet continues to grow," commented Billy Cyr, Freshpet's Chief Executive Officer. "If we simply continued the rate with which pet parents have joined the Freshpet franchise over the past two years, we would greatly exceed our 2025 goal of having 8 million households feeding Freshpet to their pets. So, we are raising our 2025 household penetration target by 37% to 11 million households and in pursuit of that goal we will get the opportunity to satisfy millions more pets and pet parents. That will also enable us to raise our 2025 net sales target to $1.25 billion. To meet that higher demand, we are accelerating and increasing our capacity expansion plan. We appreciate the support of our stakeholders who are enabling this rapid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Fourth quarter of 2020 net sales increased 28.5% to $84.5 million compared to $65.8 million for the fourth quarter of 2019. Net sales for the fourth quarter of 2020 were driven by continued growth in household penetration and buying rate.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was $30.5 million, or 36.1% as a percentage of net sales, for the fourth quarter of 2020, compared to $30.3 million, or 46.0% as a percentage of net sales, in the same period last year. For the fourth quarter 2020, Adjusted Gross Profit was $38.7 million, or 45.8% as a percentage of net sales, compared to $32.3 million, or 49.1% as a percentage of net sales, in the prior year period. The decrease in Adjusted Gross Profit as a percentage of net sales was primarily due to increased processing and production cost, and beef inflation, partially offset by higher sales price realization. Adjusted Gross Profit is a Non-GAAP financial measure defined under “Non-GAAP Measures,” and is reconciled to gross profit in the financial tables that accompany this release.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(“SG&amp;A”) were $33.6 million for the fourth quarter of 2020 compared to $25.4 million in the prior year period. As a percentage of net sales, SG&amp;A increased slightly to 39.8% for the fourth quarter of 2020 compared to 38.6% in the fourth quarter of 2019. Adjusted SG&amp;A for the fourth quarter of 2020 was $25.8 million, or 30.5% as a percentage of net sales, compared to $19.2 million, or 29.3% as a percentage of net sales, in the prior year period. The increase in Adjusted SG&amp;A as a percentage of net sales was a result of increased media spend, offset by increased expense leverage on higher net sales. Adjusted SG&amp;A is a Non-GAAP financial measure defined under “Non-GAAP Measures,” and is reconciled to SG&amp;A in the financial tables that accompany this release.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was $3.3 million for the fourth quarter of 2020 compared to net income of $4.6 million for the prior year period. The net loss compared to the net income in the prior year was due to increased expense due to COVID-19, plant start up (including increased depreciation), beef inflation, and media spend, offset by contribution from increased net sales.</w:t>
      </w:r>
    </w:p>
    <w:p>
      <w:pPr>
        <w:spacing w:after="0" w:line="176" w:lineRule="exact"/>
        <w:rPr>
          <w:sz w:val="20"/>
          <w:szCs w:val="20"/>
          <w:color w:val="auto"/>
        </w:rPr>
      </w:pPr>
    </w:p>
    <w:p>
      <w:pPr>
        <w:ind w:right="20" w:firstLine="8"/>
        <w:spacing w:after="0" w:line="195" w:lineRule="auto"/>
        <w:tabs>
          <w:tab w:leader="none" w:pos="121"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as well as certain other measures in this release, is a non-GAAP financial measure. See "Non-GAAP Measures" for how we define these measures and the financial tables that accompany this release for reconciliations of these measure to the closet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was $12.9 million, or 15.3% as a percentage of net sales, for the fourth quarter of 2020, compared to $13.2 million, or 20.1% as a percentage of net sales, in the fourth quarter of 2019. The slight decrease in Adjusted EBITDA was a result of higher Adjusted SG&amp;A expense, offset by higher net sales, and increased Adjusted Gross Profit. Adjusted EBITDA is a Non-GAAP financial measure defined under “Non-GAAP Measures,” and is reconciled to net loss in the financial tables that accompany this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29.7% to $318.8 million for the full year ended December 31, 2020 compared to $245.9 million for the prior year. Net sales for the full year 2020 were driven by continued growth in household penetration and buying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$132.9 million, or 41.7% as a percentage of net sales for 2020, compared to $114.2 million, or 46.4% as a percentage of net sales, in the same period last year. Adjusted Gross Profit was $154.1 million, or 48.3% as a percentage of net sales for 2020, compared to $121.5 million, or 49.4% as a percentage of net sales, in the prior year. The decrease in Adjusted Gross Profit as a percentage of net sales was primarily due to increased processing and production cost, and beef inflation, partially offset by higher sales price realization and a shift in sales mix.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was $134.9 million for the full year ended December 31, 2020 compared to $114.5 million in the prior year. As a percentage of net sales, SG&amp;A decreased to 42.3% for 2020 compared to 46.6% in 2019. Adjusted SG&amp;A for 2020 was $107.2 million, or 33.6% as a percentage of net sales, compared to $92.5 million, or 37.6% as a percentage of net sales, in the prior year period. The decrease in SG&amp;A and Adjusted SG&amp;A as a percentage of net sales was a result of increased expense and media leverage on higher net sales.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$3.2 million for 2020 compared to net loss of $1.4 million for the prior year. The increase in net loss was due to increased expense due to COVID-19, plant start up (including increased depreciation), beef inflation, and media spend, offset by contribution from increased net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was $46.9 million, or 14.7% as a percentage of net sales for 2020, compared to $29.2 million, or 11.9% as a percentage of net sales for the prior year. The increase in Adjusted EBITDA was a result of higher net sales and Adjusted Gross Profit, partially offset by increased Adjusted SG&amp;A.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Capacity Expansion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plans to fund its accelerated and increased capacity expansion plan through a combination of cash on the balance sheet, availability under its credit facility or potential capital raises.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2021, the Company amended and restated its credit facility, entering into a $350.0 million senior credit facility (the "New Credit Facility"). This New Credit Facility includes a $300.0 million delayed draw term loan facility and a $50.0 million revolving loan facility that replaces the Company's prior $130.0 million delayed draw term loan facility and $35.0 million revolving loan facility. The New Credit Facility will mature on February 19,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strengthen our liquidity position with our amended credit facility. Our increased liquidity will enable us to both expedite and increase our capacity expansion, supporting our accelerated growth plans," commented Heather Pomerantz, Freshpet's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Company had cash and cash equivalents of $67.2 million with no long-term debt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2021 and Long-term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full year 2021, the Company is providing the following guidance:</w:t>
      </w:r>
    </w:p>
    <w:p>
      <w:pPr>
        <w:spacing w:after="0" w:line="225" w:lineRule="exact"/>
        <w:rPr>
          <w:sz w:val="20"/>
          <w:szCs w:val="20"/>
          <w:color w:val="auto"/>
        </w:rPr>
      </w:pPr>
    </w:p>
    <w:p>
      <w:pPr>
        <w:ind w:left="780" w:hanging="381"/>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exceed net sales of $430 million, an increase greater than 35.0% from 2020</w:t>
      </w:r>
    </w:p>
    <w:p>
      <w:pPr>
        <w:spacing w:after="0" w:line="27" w:lineRule="exact"/>
        <w:rPr>
          <w:rFonts w:ascii="Times New Roman" w:cs="Times New Roman" w:eastAsia="Times New Roman" w:hAnsi="Times New Roman"/>
          <w:sz w:val="18"/>
          <w:szCs w:val="18"/>
          <w:color w:val="auto"/>
        </w:rPr>
      </w:pPr>
    </w:p>
    <w:p>
      <w:pPr>
        <w:ind w:left="780" w:hanging="381"/>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exceed Adjusted EBITDA of $61 million, an increase greater than 30% from 2020</w:t>
      </w:r>
    </w:p>
    <w:p>
      <w:pPr>
        <w:spacing w:after="0" w:line="9" w:lineRule="exact"/>
        <w:rPr>
          <w:rFonts w:ascii="Times New Roman" w:cs="Times New Roman" w:eastAsia="Times New Roman" w:hAnsi="Times New Roman"/>
          <w:sz w:val="18"/>
          <w:szCs w:val="18"/>
          <w:color w:val="auto"/>
        </w:rPr>
      </w:pPr>
    </w:p>
    <w:p>
      <w:pPr>
        <w:ind w:left="780" w:right="480" w:hanging="381"/>
        <w:spacing w:after="0" w:line="260"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investing for growth with increased media as a percentage of net sales to its long-term target level of approximately 12%, coupled with incremental staffing in manufacturing to ensure limited short shipments as it ramps up capacity through the year.</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raising its long-term guidance associated with its "Feed the Growth" 2025 strategic plan to align with its capacity expansion initiatives that are designed to meet consumer demand. The updated 2025 guidance is as follows:</w:t>
      </w:r>
    </w:p>
    <w:p>
      <w:pPr>
        <w:spacing w:after="0" w:line="162" w:lineRule="exact"/>
        <w:rPr>
          <w:sz w:val="20"/>
          <w:szCs w:val="20"/>
          <w:color w:val="auto"/>
        </w:rPr>
      </w:pPr>
    </w:p>
    <w:p>
      <w:pPr>
        <w:ind w:left="780" w:hanging="38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household penetration from 8 million households to 11 million households, an increase of 37%</w:t>
      </w:r>
    </w:p>
    <w:p>
      <w:pPr>
        <w:spacing w:after="0" w:line="27" w:lineRule="exact"/>
        <w:rPr>
          <w:rFonts w:ascii="Times New Roman" w:cs="Times New Roman" w:eastAsia="Times New Roman" w:hAnsi="Times New Roman"/>
          <w:sz w:val="18"/>
          <w:szCs w:val="18"/>
          <w:color w:val="auto"/>
        </w:rPr>
      </w:pPr>
    </w:p>
    <w:p>
      <w:pPr>
        <w:ind w:left="780" w:hanging="38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net sales from $1 billion to $1.25 billion, an increase of 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provide guidance for net income, the most directly comparable GAAP measure to Adjusted EBITDA, and similarly cannot provide a reconciliation between its forecasted Adjusted EBITDA and net income without unreasonable effort due to the unavailability of reliable estimates for certain items. These items are not within the Company’s control and may vary greatly between periods and could significantly impact future financial results.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&amp; Earnings Presentation Webcast Information</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As previously announced, today the Company will host a conference call beginning at 4:30 p.m. Eastern Time with members of its leadership team. The conference call webcast will be available live over the Internet through the "Investors" section of the Company's website at www.freshpet.com. To participate on the live call, listeners in North America may dial (877) 407-0792 and international listeners may dial (201) 689-8263.</w:t>
      </w:r>
    </w:p>
    <w:p>
      <w:pPr>
        <w:spacing w:after="0" w:line="1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replay of the conference call will be archived on the Company's website and telephonic playback will be available from 7:30 p.m. Eastern Time today through March 8, 2021. North American listeners may dial (844) 512-2921 and international listeners may dial (412) 317-6671; the passcode is 13715760.</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Freshpet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Freshpet’s mission is to improve the lives of dogs and cats through the power of fresh, real food. Freshpet foods are blends of fresh meats, vegetables and fruits farmed locally and made at our Freshpet Kitchens. We thoughtfully prepare our foods using natural ingredients, cooking them in small batches at lower temperatures to preserve the natural goodness of the ingredients. Freshpet foods and treats are kept refrigerated from the moment they are made until they arrive at Freshpet Fridges in your local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foods are available in select mass, grocery (including online), natural food, club, and pet specialty retailers across the United States, Canada and Europe. From the care, we take to source our ingredients and make our food, to the moment it reaches your home, our integrity, transparency and social responsibility are the way we like to run our business. To learn more, visit www.freshpet.com.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 with 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http://instagram.com/Freshpet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http://pinterest.com/Freshpet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https://plus.google.com/+Freshpet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https://en.wikipedia.org/wiki/Freshpet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https://www.youtube.com/user/freshpet400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release constitute “forward-looking” statements. These statements are based on management's current opinions, expectations, beliefs, plans, objectives, assumptions or projections regarding future events or future results. These forward-looking statements, including the guidance set forth herein,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Freshpet believes that its assumptions are reasonable, it is very difficult to predict the impact of known factors, and, of course, it is impossible to anticipate all factors that could affect actual results. There are several risks and uncertainties that could cause actual results to differ materially from forward-looking statements made herein including, most prominently, the risks discussed under the heading “Risk Factors” in the Company's latest annual report on Form 10-K filed with the Securities and Exchange Commission. Such forward-looking statements are made only as of the date of this release.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Freshpet uses the following non-GAAP financial measures in its financial communications. These non-GAAP financial measures should be considered as supplements to the GAAP reported measures, should not be considered replacements for, or superior to, the GAAP measures and may not be comparable to similarly named measures used by other companies.</w:t>
      </w:r>
    </w:p>
    <w:p>
      <w:pPr>
        <w:spacing w:after="0" w:line="176" w:lineRule="exact"/>
        <w:rPr>
          <w:sz w:val="20"/>
          <w:szCs w:val="20"/>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as a % of net sales (Adjusted Gross Margin)</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as a % of net sales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a % of net sales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Adjusted Gross Profit:</w:t>
      </w:r>
      <w:r>
        <w:rPr>
          <w:rFonts w:ascii="Times New Roman" w:cs="Times New Roman" w:eastAsia="Times New Roman" w:hAnsi="Times New Roman"/>
          <w:sz w:val="18"/>
          <w:szCs w:val="18"/>
          <w:color w:val="auto"/>
        </w:rPr>
        <w:t xml:space="preserve"> Freshpet defines Adjusted Gross Profit as Gross Profit before depreciation expense, plant start-up expense, COVID-19 expenses and non-cash share-based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Adjusted SG&amp;A Expenses:</w:t>
      </w:r>
      <w:r>
        <w:rPr>
          <w:rFonts w:ascii="Times New Roman" w:cs="Times New Roman" w:eastAsia="Times New Roman" w:hAnsi="Times New Roman"/>
          <w:sz w:val="18"/>
          <w:szCs w:val="18"/>
          <w:color w:val="auto"/>
        </w:rPr>
        <w:t xml:space="preserve"> Freshpet defines Adjusted SG&amp;A as SG&amp;A expenses before depreciation and amortization expense, non-cash share-based compensation, launch expense, equity offering expenses, net gain/loss on disposal of equipment, COVID-19 expenses and implementation and other costs associated with the implementation of an ERP system.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EBITDA and Adjusted EBITDA:</w:t>
      </w:r>
      <w:r>
        <w:rPr>
          <w:rFonts w:ascii="Times New Roman" w:cs="Times New Roman" w:eastAsia="Times New Roman" w:hAnsi="Times New Roman"/>
          <w:sz w:val="18"/>
          <w:szCs w:val="18"/>
          <w:color w:val="auto"/>
        </w:rPr>
        <w:t xml:space="preserve"> EBITDA represents net income (loss) plus interest expense, income tax expense and depreciation and amortization expense, and Adjusted EBITDA represents EBITDA plus net gain/loss on disposal of equipment, non-cash share-based compensation expense, launch expenses, equity offering expenses, plant start-up expenses, COVID-19 expenses and implementation and other costs associated with the implementation of an ERP system.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believes that the non-GAAP financial measures are meaningful to investors because they provide a view of the Company with respect to ongoing operating results. The non-GAAP financial measures are shown as supplemental disclosures in this release because they are widely used by the investment community for analysis and comparative evaluation. They also provide additional metrics to evaluate the Company’s operations and, when considered with both the Company’s GAAP results and the reconciliation to the most comparable GAAP measures, provide a more complete understanding of the Company’s business than could be obtained absent this disclosure. The non-GAAP measures are not and should not be considered an alternative to the most comparable GAAP measures or any other figure calculated in accordance with GAAP, or as an indicator of operating performance. The Company’s calculation of the non-GAAP financial measures may differ from methods used by other companies. Management believes that the non-GAAP measures are important to an understanding of the Company's overall operating results in the periods presented. The non-GAAP financial measures are not recognized in accordance with GAAP and should not be viewed as an alternative to GAAP measures of performance.</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Jeff Sonnek</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646-277-1263</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Jeff.sonnek@icrinc.com</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FRESHPET, INC.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67,247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Deposits on equipment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434,388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236,126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20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 term operating lease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40,219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104,861</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 voting, $0.001 par value, 200,000,000 shares authorized, 40,732,409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40,718,240 outstanding on December 31, 2020, and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36,162,433 issued and 36,148,264 outstanding on December 31, 2019</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334,299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(202,735)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 14,169 shares on December 31, 2020 and on December 31, 2019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131,265</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434,388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236,126</w:t>
            </w:r>
          </w:p>
        </w:tc>
      </w:tr>
      <w:tr>
        <w:trPr>
          <w:trHeight w:val="628"/>
        </w:trPr>
        <w:tc>
          <w:tcPr>
            <w:tcW w:w="8000" w:type="dxa"/>
            <w:vAlign w:val="bottom"/>
            <w:tcBorders>
              <w:top w:val="single" w:sz="8" w:color="CCEEFF"/>
            </w:tcBorders>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FRESHPET,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1"/>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318,790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245,862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53,989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131,665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132,910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33,635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Income/(Expenses),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78"/>
        </w:trPr>
        <w:tc>
          <w:tcPr>
            <w:tcW w:w="598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USED IN COMPUTING NET INCOME (LOSS)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40,668,963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36,115,518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39,757,660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35,950,117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40,668,963</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37,359,970</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39,757,660</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35,950,117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FRESHPET,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4"/>
              </w:rPr>
              <w:t>(Dollars 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flows provided by</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loss/(gains) on accounts receivable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 obsolescence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15,922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 and loan discount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6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6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Operating lease right of use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6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13,082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6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 lease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18,575</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equity method investment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Acquisitions of property, plant and equipment, software and deposits on</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(134,568)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(70,633)</w:t>
            </w:r>
          </w:p>
        </w:tc>
        <w:tc>
          <w:tcPr>
            <w:tcW w:w="32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(16,274)</w:t>
            </w: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(162,462)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(16,274)</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common shares issued in primary offering, net of issuance cost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252,062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withholdings related to net shares settlements of restricted stock units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borrowings under Credit Facilities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72,291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borrowings under Credit Facilities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fees paid in connection with borrowings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199,044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56,234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67,247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FRESHPET,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BETWEEN GROSS PROFIT AND ADJUSTED GROSS PROFIT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30,250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114,197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9,576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start-up expense (a)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expense (b)</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38,675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32,279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154,077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121,489</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Gross Profit as a % of Net Sales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49.1%</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49.4%</w:t>
            </w:r>
          </w:p>
        </w:tc>
      </w:tr>
    </w:tbl>
    <w:p>
      <w:pPr>
        <w:spacing w:after="0" w:line="198" w:lineRule="exact"/>
        <w:rPr>
          <w:sz w:val="20"/>
          <w:szCs w:val="20"/>
          <w:color w:val="auto"/>
        </w:rPr>
      </w:pPr>
    </w:p>
    <w:p>
      <w:pPr>
        <w:ind w:left="980" w:right="60" w:hanging="486"/>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operating costs incurred in connection with the start-up of our new manufacturing lines as part of the Freshpet Kitchens expansion projects.</w:t>
      </w:r>
    </w:p>
    <w:p>
      <w:pPr>
        <w:ind w:left="980" w:right="420" w:hanging="486"/>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COVID-19 expenses including (i) costs incurred to protect the health and safety of our employees during the COVID-19 pandemic, (ii) temporary increased compensation expense to ensure continued operations during the pandemic, and (iii) costs to mitigate potential supply chain disruptions during the pandemic, included in cost of goods sold.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FRESHPET,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BETWEEN SG&amp;A EXPENSES AND ADJUSTED SG&amp;A EXPENSES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25,375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134,908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114,450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11,549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9,551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Launch expense (a)</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Equity offering expenses (b)</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Resource Planning (c)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COVID-19 expense (d)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25,753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19,233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107,243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92,473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SG&amp;A Expenses as a % of Net Sales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395" w:lineRule="exact"/>
        <w:rPr>
          <w:sz w:val="20"/>
          <w:szCs w:val="20"/>
          <w:color w:val="auto"/>
        </w:rPr>
      </w:pPr>
    </w:p>
    <w:p>
      <w:pPr>
        <w:jc w:val="both"/>
        <w:ind w:left="980" w:right="240" w:hanging="486"/>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store marketing allowance of $1,000 for each store added to our distribution network, as well as the non-capitalized freight costs associated with Freshpet Fridge replacements. The expense enhances the overall marketing spend to support our growing distribution network.</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associated with public offerings of our common stock.</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implementation and other costs associated with the implementation of an ERP system.</w:t>
      </w:r>
    </w:p>
    <w:p>
      <w:pPr>
        <w:spacing w:after="0" w:line="36" w:lineRule="exact"/>
        <w:rPr>
          <w:rFonts w:ascii="Times New Roman" w:cs="Times New Roman" w:eastAsia="Times New Roman" w:hAnsi="Times New Roman"/>
          <w:sz w:val="18"/>
          <w:szCs w:val="18"/>
          <w:color w:val="auto"/>
        </w:rPr>
      </w:pPr>
    </w:p>
    <w:p>
      <w:pPr>
        <w:ind w:left="980" w:right="420" w:hanging="486"/>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COVID-19 expenses including (i) costs incurred to protect the health and safety of our employees during the COVID-19 pandemic, (ii) temporary increased compensation expense to ensure continued operations during the pandemic, and (iii) costs to mitigate potential supply chain disruptions during the pandemic, included in SG&amp;A.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FRESHPET,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BETWEEN NET INCOME (LOSS) AND ADJUSTED EBITDA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15,921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3,093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9,236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19,213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15,673</w:t>
            </w: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Launch expense (a)</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start-up expenses (b)</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Equity offering expenses (c)</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Resource Planning (d)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COVID-19 expense (e)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12,939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13,194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46,920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29,159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 of Net Sales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395" w:lineRule="exact"/>
        <w:rPr>
          <w:sz w:val="20"/>
          <w:szCs w:val="20"/>
          <w:color w:val="auto"/>
        </w:rPr>
      </w:pPr>
    </w:p>
    <w:p>
      <w:pPr>
        <w:jc w:val="both"/>
        <w:ind w:left="980" w:right="240" w:hanging="486"/>
        <w:spacing w:after="0" w:line="25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store marketing allowance of $1,000 for each store added to our distribution network, as well as the non-capitalized freight costs associated with Freshpet Fridge replacements. The expense enhances the overall marketing spend to support our growing distribution network.</w:t>
      </w:r>
    </w:p>
    <w:p>
      <w:pPr>
        <w:spacing w:after="0" w:line="1" w:lineRule="exact"/>
        <w:rPr>
          <w:rFonts w:ascii="Times New Roman" w:cs="Times New Roman" w:eastAsia="Times New Roman" w:hAnsi="Times New Roman"/>
          <w:sz w:val="18"/>
          <w:szCs w:val="18"/>
          <w:color w:val="auto"/>
        </w:rPr>
      </w:pPr>
    </w:p>
    <w:p>
      <w:pPr>
        <w:ind w:left="980" w:right="60" w:hanging="486"/>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operating costs incurred in connection with the start-up of our new manufacturing lines as part of the Freshpet Kitchens expansion projects.</w:t>
      </w: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associated with public offerings of our common stock.</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implementation and other costs associated with the implementation of an ERP system.</w:t>
      </w:r>
    </w:p>
    <w:p>
      <w:pPr>
        <w:spacing w:after="0" w:line="36" w:lineRule="exact"/>
        <w:rPr>
          <w:rFonts w:ascii="Times New Roman" w:cs="Times New Roman" w:eastAsia="Times New Roman" w:hAnsi="Times New Roman"/>
          <w:sz w:val="18"/>
          <w:szCs w:val="18"/>
          <w:color w:val="auto"/>
        </w:rPr>
      </w:pPr>
    </w:p>
    <w:p>
      <w:pPr>
        <w:ind w:left="980" w:right="420" w:hanging="486"/>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COVID-19 expenses including (i) costs incurred to protect the health and safety of our employees during the COVID-19 pandemic, (ii) temporary increased compensation expense to ensure continued operations during the pandemic, and (iii) costs to mitigate potential supply chain disruptions during the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92" w:right="339" w:bottom="1440" w:gutter="0" w:footer="0" w:header="0"/>
        </w:sectPr>
      </w:pPr>
    </w:p>
    <w:bookmarkStart w:id="13" w:name="page14"/>
    <w:bookmarkEnd w:id="13"/>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4699000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438785</wp:posOffset>
            </wp:positionV>
            <wp:extent cx="6686550" cy="3763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376301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40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243205</wp:posOffset>
            </wp:positionV>
            <wp:extent cx="6686550" cy="37630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630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2021-02-22T15:09:49Z</dcterms:created>
  <dcterms:modified xsi:type="dcterms:W3CDTF">2021-02-22T15:09:49Z</dcterms:modified>
</cp:coreProperties>
</file>