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20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20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61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203"/>
        <w:spacing w:after="0"/>
        <w:rPr>
          <w:sz w:val="20"/>
          <w:szCs w:val="20"/>
          <w:color w:val="auto"/>
        </w:rPr>
      </w:pPr>
      <w:r>
        <w:rPr>
          <w:rFonts w:ascii="Arial" w:cs="Arial" w:eastAsia="Arial" w:hAnsi="Arial"/>
          <w:sz w:val="19"/>
          <w:szCs w:val="19"/>
          <w:b w:val="1"/>
          <w:bCs w:val="1"/>
          <w:color w:val="auto"/>
        </w:rPr>
        <w:t>PURSUANT TO SECTION 13 OR 15(D)</w:t>
      </w:r>
    </w:p>
    <w:p>
      <w:pPr>
        <w:jc w:val="center"/>
        <w:ind w:right="-20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80" w:lineRule="exact"/>
        <w:rPr>
          <w:sz w:val="24"/>
          <w:szCs w:val="24"/>
          <w:color w:val="auto"/>
        </w:rPr>
      </w:pPr>
    </w:p>
    <w:p>
      <w:pPr>
        <w:jc w:val="center"/>
        <w:ind w:right="-203"/>
        <w:spacing w:after="0"/>
        <w:rPr>
          <w:sz w:val="20"/>
          <w:szCs w:val="20"/>
          <w:color w:val="auto"/>
        </w:rPr>
      </w:pPr>
      <w:r>
        <w:rPr>
          <w:rFonts w:ascii="Arial" w:cs="Arial" w:eastAsia="Arial" w:hAnsi="Arial"/>
          <w:sz w:val="19"/>
          <w:szCs w:val="19"/>
          <w:b w:val="1"/>
          <w:bCs w:val="1"/>
          <w:color w:val="auto"/>
        </w:rPr>
        <w:t>Date of report (Date of earliest event reported): September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72618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3"/>
        <w:spacing w:after="0"/>
        <w:rPr>
          <w:sz w:val="20"/>
          <w:szCs w:val="20"/>
          <w:color w:val="auto"/>
        </w:rPr>
      </w:pPr>
      <w:r>
        <w:rPr>
          <w:rFonts w:ascii="Arial" w:cs="Arial" w:eastAsia="Arial" w:hAnsi="Arial"/>
          <w:sz w:val="38"/>
          <w:szCs w:val="38"/>
          <w:b w:val="1"/>
          <w:bCs w:val="1"/>
          <w:color w:val="auto"/>
        </w:rPr>
        <w:t>FRESHPET, INC.</w:t>
      </w:r>
    </w:p>
    <w:p>
      <w:pPr>
        <w:spacing w:after="0" w:line="47" w:lineRule="exact"/>
        <w:rPr>
          <w:sz w:val="24"/>
          <w:szCs w:val="24"/>
          <w:color w:val="auto"/>
        </w:rPr>
      </w:pPr>
    </w:p>
    <w:p>
      <w:pPr>
        <w:jc w:val="center"/>
        <w:ind w:right="-203"/>
        <w:spacing w:after="0"/>
        <w:rPr>
          <w:sz w:val="20"/>
          <w:szCs w:val="20"/>
          <w:color w:val="auto"/>
        </w:rPr>
      </w:pPr>
      <w:r>
        <w:rPr>
          <w:rFonts w:ascii="Arial" w:cs="Arial" w:eastAsia="Arial" w:hAnsi="Arial"/>
          <w:sz w:val="16"/>
          <w:szCs w:val="16"/>
          <w:b w:val="1"/>
          <w:bCs w:val="1"/>
          <w:color w:val="auto"/>
        </w:rPr>
        <w:t>(EXACT NAME OF REGISTRANT AS SPECIFIED IN CHARTER)</w:t>
      </w:r>
    </w:p>
    <w:p>
      <w:pPr>
        <w:sectPr>
          <w:pgSz w:w="11900" w:h="16838" w:orient="portrait"/>
          <w:cols w:equalWidth="0" w:num="1">
            <w:col w:w="11244"/>
          </w:cols>
          <w:pgMar w:left="236" w:top="679" w:right="419"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254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center"/>
        <w:ind w:right="1400"/>
        <w:spacing w:after="0"/>
        <w:rPr>
          <w:sz w:val="20"/>
          <w:szCs w:val="20"/>
          <w:color w:val="auto"/>
        </w:rPr>
      </w:pPr>
      <w:r>
        <w:rPr>
          <w:rFonts w:ascii="Arial" w:cs="Arial" w:eastAsia="Arial" w:hAnsi="Arial"/>
          <w:sz w:val="14"/>
          <w:szCs w:val="14"/>
          <w:b w:val="1"/>
          <w:bCs w:val="1"/>
          <w:color w:val="auto"/>
        </w:rPr>
        <w:t>001-36729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20-1884894</w:t>
      </w:r>
    </w:p>
    <w:p>
      <w:pPr>
        <w:spacing w:after="0" w:line="36" w:lineRule="exact"/>
        <w:rPr>
          <w:sz w:val="24"/>
          <w:szCs w:val="24"/>
          <w:color w:val="auto"/>
        </w:rPr>
      </w:pPr>
    </w:p>
    <w:p>
      <w:pPr>
        <w:sectPr>
          <w:pgSz w:w="11900" w:h="16838" w:orient="portrait"/>
          <w:cols w:equalWidth="0" w:num="3">
            <w:col w:w="4724" w:space="720"/>
            <w:col w:w="2100" w:space="720"/>
            <w:col w:w="2980"/>
          </w:cols>
          <w:pgMar w:left="236" w:top="679" w:right="419" w:bottom="1440" w:gutter="0" w:footer="0" w:header="0"/>
          <w:type w:val="continuous"/>
        </w:sectPr>
      </w:pPr>
    </w:p>
    <w:p>
      <w:pPr>
        <w:spacing w:after="0" w:line="12" w:lineRule="exact"/>
        <w:rPr>
          <w:sz w:val="24"/>
          <w:szCs w:val="24"/>
          <w:color w:val="auto"/>
        </w:rPr>
      </w:pPr>
    </w:p>
    <w:p>
      <w:pPr>
        <w:jc w:val="center"/>
        <w:ind w:left="1004"/>
        <w:spacing w:after="0"/>
        <w:rPr>
          <w:sz w:val="20"/>
          <w:szCs w:val="20"/>
          <w:color w:val="auto"/>
        </w:rPr>
      </w:pPr>
      <w:r>
        <w:rPr>
          <w:rFonts w:ascii="Arial" w:cs="Arial" w:eastAsia="Arial" w:hAnsi="Arial"/>
          <w:sz w:val="11"/>
          <w:szCs w:val="11"/>
          <w:b w:val="1"/>
          <w:bCs w:val="1"/>
          <w:color w:val="auto"/>
        </w:rPr>
        <w:t>(State or other jurisdiction</w:t>
      </w:r>
    </w:p>
    <w:p>
      <w:pPr>
        <w:spacing w:after="0" w:line="12" w:lineRule="exact"/>
        <w:rPr>
          <w:sz w:val="24"/>
          <w:szCs w:val="24"/>
          <w:color w:val="auto"/>
        </w:rPr>
      </w:pPr>
    </w:p>
    <w:p>
      <w:pPr>
        <w:jc w:val="center"/>
        <w:ind w:left="1004"/>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3"/>
          <w:szCs w:val="13"/>
          <w:b w:val="1"/>
          <w:bCs w:val="1"/>
          <w:color w:val="auto"/>
        </w:rPr>
        <w:t>(IRS Employer</w:t>
      </w:r>
    </w:p>
    <w:p>
      <w:pPr>
        <w:jc w:val="center"/>
        <w:ind w:right="210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04" w:space="720"/>
            <w:col w:w="2000" w:space="720"/>
            <w:col w:w="3100"/>
          </w:cols>
          <w:pgMar w:left="236" w:top="679" w:right="419" w:bottom="1440" w:gutter="0" w:footer="0" w:header="0"/>
          <w:type w:val="continuous"/>
        </w:sectPr>
      </w:pPr>
    </w:p>
    <w:p>
      <w:pPr>
        <w:spacing w:after="0" w:line="48"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400 Plaza Drive, 1st Floor</w:t>
      </w:r>
    </w:p>
    <w:p>
      <w:pPr>
        <w:spacing w:after="0" w:line="25"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Secaucus, New Jersey 07094</w:t>
      </w:r>
    </w:p>
    <w:p>
      <w:pPr>
        <w:spacing w:after="0" w:line="2" w:lineRule="exact"/>
        <w:rPr>
          <w:sz w:val="24"/>
          <w:szCs w:val="24"/>
          <w:color w:val="auto"/>
        </w:rPr>
      </w:pPr>
    </w:p>
    <w:p>
      <w:pPr>
        <w:jc w:val="center"/>
        <w:ind w:right="-183"/>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99"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(201) 520-4000</w:t>
      </w:r>
    </w:p>
    <w:p>
      <w:pPr>
        <w:spacing w:after="0" w:line="19" w:lineRule="exact"/>
        <w:rPr>
          <w:sz w:val="24"/>
          <w:szCs w:val="24"/>
          <w:color w:val="auto"/>
        </w:rPr>
      </w:pPr>
    </w:p>
    <w:p>
      <w:pPr>
        <w:jc w:val="center"/>
        <w:ind w:right="-183"/>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88"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Not Applicable</w:t>
      </w:r>
    </w:p>
    <w:p>
      <w:pPr>
        <w:spacing w:after="0" w:line="19" w:lineRule="exact"/>
        <w:rPr>
          <w:sz w:val="24"/>
          <w:szCs w:val="24"/>
          <w:color w:val="auto"/>
        </w:rPr>
      </w:pPr>
    </w:p>
    <w:p>
      <w:pPr>
        <w:jc w:val="center"/>
        <w:ind w:right="-183"/>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44"/>
          </w:cols>
          <w:pgMar w:left="236" w:top="679" w:right="4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this Form 8-K filing is intended to simultaneously satisfy the filing obligation of the registrant under any of the following provisions:</w:t>
      </w:r>
    </w:p>
    <w:p>
      <w:pPr>
        <w:spacing w:after="0" w:line="128"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8" w:lineRule="exact"/>
        <w:rPr>
          <w:rFonts w:ascii="MS PGothic" w:cs="MS PGothic" w:eastAsia="MS PGothic" w:hAnsi="MS PGothic"/>
          <w:sz w:val="16"/>
          <w:szCs w:val="16"/>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8" w:lineRule="exact"/>
        <w:rPr>
          <w:rFonts w:ascii="MS PGothic" w:cs="MS PGothic" w:eastAsia="MS PGothic" w:hAnsi="MS PGothic"/>
          <w:sz w:val="16"/>
          <w:szCs w:val="16"/>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8" w:lineRule="exact"/>
        <w:rPr>
          <w:rFonts w:ascii="MS PGothic" w:cs="MS PGothic" w:eastAsia="MS PGothic" w:hAnsi="MS PGothic"/>
          <w:sz w:val="16"/>
          <w:szCs w:val="16"/>
          <w:color w:val="auto"/>
        </w:rPr>
      </w:pPr>
    </w:p>
    <w:p>
      <w:pPr>
        <w:ind w:left="344" w:hanging="344"/>
        <w:spacing w:after="0"/>
        <w:tabs>
          <w:tab w:leader="none" w:pos="3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2"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8"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6" w:lineRule="exact"/>
        <w:rPr>
          <w:sz w:val="24"/>
          <w:szCs w:val="24"/>
          <w:color w:val="auto"/>
        </w:rPr>
      </w:pPr>
    </w:p>
    <w:p>
      <w:pPr>
        <w:ind w:left="4"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174625</wp:posOffset>
            </wp:positionV>
            <wp:extent cx="730250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44"/>
          </w:cols>
          <w:pgMar w:left="236" w:top="679"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68" w:lineRule="exact"/>
        <w:rPr>
          <w:sz w:val="20"/>
          <w:szCs w:val="20"/>
          <w:color w:val="auto"/>
        </w:rPr>
      </w:pPr>
    </w:p>
    <w:p>
      <w:pPr>
        <w:ind w:right="760"/>
        <w:spacing w:after="0" w:line="351" w:lineRule="auto"/>
        <w:rPr>
          <w:sz w:val="20"/>
          <w:szCs w:val="20"/>
          <w:color w:val="auto"/>
        </w:rPr>
      </w:pPr>
      <w:r>
        <w:rPr>
          <w:rFonts w:ascii="Arial" w:cs="Arial" w:eastAsia="Arial" w:hAnsi="Arial"/>
          <w:sz w:val="14"/>
          <w:szCs w:val="14"/>
          <w:color w:val="auto"/>
        </w:rPr>
        <w:t>On September 10, 2018, Freshpet, Inc. (“Freshpet”) published to the investor relations section of its website a presentation that will be used by members of Freshpet’s management team in meetings with analysts and stockholders. A copy of the presentation is attached hereto as Exhibit 99.1 and is incorporated herein by reference.</w:t>
      </w:r>
    </w:p>
    <w:p>
      <w:pPr>
        <w:spacing w:after="0" w:line="8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information furnished with this Item 7.01, including Exhibit 99.1, shall not be deemed “filed” for purposes of Section 18 of the Securities Exchange Act of 1934, as amended (the “Exchange Act”), or incorporated by reference into any other filing under the Securities Act of 1933, as amended, or the Exchange Act, except as expressly set forth by specific reference in such a filing.</w:t>
      </w:r>
    </w:p>
    <w:p>
      <w:pPr>
        <w:spacing w:after="0" w:line="126" w:lineRule="exact"/>
        <w:rPr>
          <w:sz w:val="20"/>
          <w:szCs w:val="20"/>
          <w:color w:val="auto"/>
        </w:rPr>
      </w:pPr>
    </w:p>
    <w:p>
      <w:pPr>
        <w:ind w:right="440"/>
        <w:spacing w:after="0" w:line="198" w:lineRule="exact"/>
        <w:rPr>
          <w:sz w:val="20"/>
          <w:szCs w:val="20"/>
          <w:color w:val="auto"/>
        </w:rPr>
      </w:pPr>
      <w:r>
        <w:rPr>
          <w:rFonts w:ascii="Arial" w:cs="Arial" w:eastAsia="Arial" w:hAnsi="Arial"/>
          <w:sz w:val="16"/>
          <w:szCs w:val="16"/>
          <w:color w:val="auto"/>
        </w:rPr>
        <w:t>Freshpet uses the “Investors” section of its website (investors.freshpet.com) as a means of disclosing material non</w:t>
      </w:r>
      <w:r>
        <w:rPr>
          <w:rFonts w:ascii="MS PGothic" w:cs="MS PGothic" w:eastAsia="MS PGothic" w:hAnsi="MS PGothic"/>
          <w:sz w:val="16"/>
          <w:szCs w:val="16"/>
          <w:color w:val="auto"/>
        </w:rPr>
        <w:t>‑</w:t>
      </w:r>
      <w:r>
        <w:rPr>
          <w:rFonts w:ascii="Arial" w:cs="Arial" w:eastAsia="Arial" w:hAnsi="Arial"/>
          <w:sz w:val="16"/>
          <w:szCs w:val="16"/>
          <w:color w:val="auto"/>
        </w:rPr>
        <w:t>public information and for complying with its disclosure obligations under Regulation FD.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53473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7335" cy="7620"/>
                    </a:xfrm>
                    <a:prstGeom prst="rect">
                      <a:avLst/>
                    </a:prstGeom>
                    <a:noFill/>
                  </pic:spPr>
                </pic:pic>
              </a:graphicData>
            </a:graphic>
          </wp:anchor>
        </w:drawing>
      </w:r>
    </w:p>
    <w:p>
      <w:pPr>
        <w:spacing w:after="0" w:line="192" w:lineRule="exact"/>
        <w:rPr>
          <w:sz w:val="20"/>
          <w:szCs w:val="20"/>
          <w:color w:val="auto"/>
        </w:rPr>
      </w:pPr>
    </w:p>
    <w:p>
      <w:pPr>
        <w:spacing w:after="0"/>
        <w:tabs>
          <w:tab w:leader="none" w:pos="136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September Investors Presentation dated September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295275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527050</wp:posOffset>
            </wp:positionV>
            <wp:extent cx="730250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216" w:lineRule="exact"/>
        <w:rPr>
          <w:sz w:val="20"/>
          <w:szCs w:val="20"/>
          <w:color w:val="auto"/>
        </w:rPr>
      </w:pPr>
    </w:p>
    <w:p>
      <w:pPr>
        <w:ind w:firstLine="489"/>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08"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FRESHPET, INC.</w:t>
      </w:r>
    </w:p>
    <w:p>
      <w:pPr>
        <w:spacing w:after="0" w:line="152" w:lineRule="exact"/>
        <w:rPr>
          <w:sz w:val="20"/>
          <w:szCs w:val="20"/>
          <w:color w:val="auto"/>
        </w:rPr>
      </w:pPr>
    </w:p>
    <w:p>
      <w:pPr>
        <w:spacing w:after="0"/>
        <w:tabs>
          <w:tab w:leader="none" w:pos="4260" w:val="left"/>
        </w:tabs>
        <w:rPr>
          <w:sz w:val="20"/>
          <w:szCs w:val="20"/>
          <w:color w:val="auto"/>
        </w:rPr>
      </w:pPr>
      <w:r>
        <w:rPr>
          <w:rFonts w:ascii="Arial" w:cs="Arial" w:eastAsia="Arial" w:hAnsi="Arial"/>
          <w:sz w:val="16"/>
          <w:szCs w:val="16"/>
          <w:color w:val="auto"/>
        </w:rPr>
        <w:t>Date: September 10, 2018</w:t>
      </w:r>
      <w:r>
        <w:rPr>
          <w:sz w:val="20"/>
          <w:szCs w:val="20"/>
          <w:color w:val="auto"/>
        </w:rPr>
        <w:tab/>
      </w:r>
      <w:r>
        <w:rPr>
          <w:rFonts w:ascii="Arial" w:cs="Arial" w:eastAsia="Arial" w:hAnsi="Arial"/>
          <w:sz w:val="15"/>
          <w:szCs w:val="15"/>
          <w:color w:val="auto"/>
        </w:rPr>
        <w:t>By: /s/ Richard Kassar</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Name: Richard 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-115570</wp:posOffset>
            </wp:positionV>
            <wp:extent cx="24180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18080" cy="7620"/>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Title: Chief Financial Officer</w:t>
      </w:r>
    </w:p>
    <w:p>
      <w:pPr>
        <w:sectPr>
          <w:pgSz w:w="11900" w:h="16838" w:orient="portrait"/>
          <w:cols w:equalWidth="0" w:num="1">
            <w:col w:w="11380"/>
          </w:cols>
          <w:pgMar w:left="240" w:top="123" w:right="2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5916295</wp:posOffset>
            </wp:positionV>
            <wp:extent cx="7261860"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5916295</wp:posOffset>
            </wp:positionV>
            <wp:extent cx="726186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5916930</wp:posOffset>
            </wp:positionV>
            <wp:extent cx="7261860"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5916930</wp:posOffset>
            </wp:positionV>
            <wp:extent cx="726186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5916930</wp:posOffset>
            </wp:positionV>
            <wp:extent cx="726186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5916930</wp:posOffset>
            </wp:positionV>
            <wp:extent cx="7261860"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2020-01-12T22:15:58Z</dcterms:created>
  <dcterms:modified xsi:type="dcterms:W3CDTF">2020-01-12T22:15:58Z</dcterms:modified>
</cp:coreProperties>
</file>